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82" w:rsidRPr="002812E4" w:rsidRDefault="00B1087A" w:rsidP="002E4582">
      <w:pPr>
        <w:jc w:val="center"/>
        <w:rPr>
          <w:rFonts w:ascii="Verdana" w:hAnsi="Verdana"/>
          <w:b/>
          <w:sz w:val="20"/>
          <w:lang w:val="de-DE"/>
        </w:rPr>
      </w:pPr>
      <w:r w:rsidRPr="002812E4">
        <w:rPr>
          <w:rFonts w:ascii="Verdana" w:hAnsi="Verdana"/>
          <w:b/>
          <w:sz w:val="20"/>
          <w:lang w:val="de-DE"/>
        </w:rPr>
        <w:t>VORLESUNG</w:t>
      </w:r>
      <w:r w:rsidR="002E4582" w:rsidRPr="002812E4">
        <w:rPr>
          <w:rFonts w:ascii="Verdana" w:hAnsi="Verdana"/>
          <w:b/>
          <w:sz w:val="20"/>
          <w:lang w:val="de-DE"/>
        </w:rPr>
        <w:t xml:space="preserve"> </w:t>
      </w:r>
      <w:r w:rsidR="003E5098">
        <w:rPr>
          <w:rFonts w:ascii="Verdana" w:hAnsi="Verdana"/>
          <w:b/>
          <w:sz w:val="20"/>
          <w:lang w:val="de-DE"/>
        </w:rPr>
        <w:t>0</w:t>
      </w:r>
      <w:r w:rsidR="00910A56">
        <w:rPr>
          <w:rFonts w:ascii="Verdana" w:hAnsi="Verdana"/>
          <w:b/>
          <w:sz w:val="20"/>
          <w:lang w:val="de-DE"/>
        </w:rPr>
        <w:t>6</w:t>
      </w:r>
      <w:r w:rsidR="002E4582" w:rsidRPr="002812E4">
        <w:rPr>
          <w:rFonts w:ascii="Verdana" w:hAnsi="Verdana"/>
          <w:b/>
          <w:sz w:val="20"/>
          <w:lang w:val="de-DE"/>
        </w:rPr>
        <w:t>.</w:t>
      </w:r>
      <w:r w:rsidR="00236E6A">
        <w:rPr>
          <w:rFonts w:ascii="Verdana" w:hAnsi="Verdana"/>
          <w:b/>
          <w:sz w:val="20"/>
          <w:lang w:val="de-DE"/>
        </w:rPr>
        <w:t>11</w:t>
      </w:r>
      <w:r w:rsidR="002E4582" w:rsidRPr="002812E4">
        <w:rPr>
          <w:rFonts w:ascii="Verdana" w:hAnsi="Verdana"/>
          <w:b/>
          <w:sz w:val="20"/>
          <w:lang w:val="de-DE"/>
        </w:rPr>
        <w:t>.20</w:t>
      </w:r>
      <w:r w:rsidR="009B4D18" w:rsidRPr="002812E4">
        <w:rPr>
          <w:rFonts w:ascii="Verdana" w:hAnsi="Verdana"/>
          <w:b/>
          <w:sz w:val="20"/>
          <w:lang w:val="de-DE"/>
        </w:rPr>
        <w:t>1</w:t>
      </w:r>
      <w:r w:rsidR="003E5098">
        <w:rPr>
          <w:rFonts w:ascii="Verdana" w:hAnsi="Verdana"/>
          <w:b/>
          <w:sz w:val="20"/>
          <w:lang w:val="de-DE"/>
        </w:rPr>
        <w:t>7</w:t>
      </w:r>
    </w:p>
    <w:p w:rsidR="00AE4774" w:rsidRPr="002812E4" w:rsidRDefault="00AE4774" w:rsidP="00AE4774">
      <w:pPr>
        <w:rPr>
          <w:rFonts w:ascii="Verdana" w:hAnsi="Verdana"/>
          <w:sz w:val="20"/>
          <w:lang w:val="de-DE"/>
        </w:rPr>
      </w:pPr>
    </w:p>
    <w:p w:rsidR="00324500" w:rsidRPr="00324500" w:rsidRDefault="00324500" w:rsidP="00324500">
      <w:pPr>
        <w:pStyle w:val="Sheading1"/>
        <w:tabs>
          <w:tab w:val="clear" w:pos="680"/>
        </w:tabs>
        <w:ind w:left="426" w:hanging="426"/>
        <w:rPr>
          <w:rFonts w:ascii="Verdana" w:hAnsi="Verdana"/>
          <w:b/>
          <w:sz w:val="20"/>
          <w:lang w:val="de-DE"/>
        </w:rPr>
      </w:pPr>
      <w:r w:rsidRPr="00324500">
        <w:rPr>
          <w:rFonts w:ascii="Verdana" w:hAnsi="Verdana"/>
          <w:b/>
          <w:sz w:val="20"/>
          <w:lang w:val="de-DE"/>
        </w:rPr>
        <w:t>LOI</w:t>
      </w:r>
    </w:p>
    <w:p w:rsidR="00324500" w:rsidRPr="006170DB" w:rsidRDefault="00324500" w:rsidP="00324500">
      <w:pPr>
        <w:rPr>
          <w:rFonts w:ascii="Verdana" w:hAnsi="Verdana"/>
          <w:sz w:val="20"/>
          <w:lang w:val="de-DE"/>
        </w:rPr>
      </w:pPr>
    </w:p>
    <w:p w:rsidR="00324500" w:rsidRPr="006170DB" w:rsidRDefault="00324500" w:rsidP="00324500">
      <w:pPr>
        <w:numPr>
          <w:ilvl w:val="0"/>
          <w:numId w:val="11"/>
        </w:numPr>
        <w:tabs>
          <w:tab w:val="clear" w:pos="720"/>
          <w:tab w:val="num" w:pos="440"/>
        </w:tabs>
        <w:ind w:left="440" w:hanging="440"/>
        <w:rPr>
          <w:rFonts w:ascii="Verdana" w:hAnsi="Verdana"/>
          <w:sz w:val="20"/>
          <w:lang w:val="de-DE"/>
        </w:rPr>
      </w:pPr>
      <w:r w:rsidRPr="006170DB">
        <w:rPr>
          <w:rFonts w:ascii="Verdana" w:hAnsi="Verdana"/>
          <w:sz w:val="20"/>
          <w:lang w:val="de-DE"/>
        </w:rPr>
        <w:t>Was ist ein LOI? Wie ist er rechtlich zu beurteilen</w:t>
      </w:r>
      <w:r>
        <w:rPr>
          <w:rFonts w:ascii="Verdana" w:hAnsi="Verdana"/>
          <w:sz w:val="20"/>
          <w:lang w:val="de-DE"/>
        </w:rPr>
        <w:t xml:space="preserve"> (regelmäßig noch kein Vo</w:t>
      </w:r>
      <w:r>
        <w:rPr>
          <w:rFonts w:ascii="Verdana" w:hAnsi="Verdana"/>
          <w:sz w:val="20"/>
          <w:lang w:val="de-DE"/>
        </w:rPr>
        <w:t>r</w:t>
      </w:r>
      <w:r>
        <w:rPr>
          <w:rFonts w:ascii="Verdana" w:hAnsi="Verdana"/>
          <w:sz w:val="20"/>
          <w:lang w:val="de-DE"/>
        </w:rPr>
        <w:t>vertrag bzw. keine Punktation, aus der auf die Erfüllung der Hauptleistung g</w:t>
      </w:r>
      <w:r>
        <w:rPr>
          <w:rFonts w:ascii="Verdana" w:hAnsi="Verdana"/>
          <w:sz w:val="20"/>
          <w:lang w:val="de-DE"/>
        </w:rPr>
        <w:t>e</w:t>
      </w:r>
      <w:r>
        <w:rPr>
          <w:rFonts w:ascii="Verdana" w:hAnsi="Verdana"/>
          <w:sz w:val="20"/>
          <w:lang w:val="de-DE"/>
        </w:rPr>
        <w:t>klagt werden kann, sondern eine Absichtserklärung hinsichtlich der Hauptlei</w:t>
      </w:r>
      <w:r>
        <w:rPr>
          <w:rFonts w:ascii="Verdana" w:hAnsi="Verdana"/>
          <w:sz w:val="20"/>
          <w:lang w:val="de-DE"/>
        </w:rPr>
        <w:t>s</w:t>
      </w:r>
      <w:r>
        <w:rPr>
          <w:rFonts w:ascii="Verdana" w:hAnsi="Verdana"/>
          <w:sz w:val="20"/>
          <w:lang w:val="de-DE"/>
        </w:rPr>
        <w:t>tungspflichten mit bindenden Elementen hinsichtlich der weiteren Vertragsve</w:t>
      </w:r>
      <w:r>
        <w:rPr>
          <w:rFonts w:ascii="Verdana" w:hAnsi="Verdana"/>
          <w:sz w:val="20"/>
          <w:lang w:val="de-DE"/>
        </w:rPr>
        <w:t>r</w:t>
      </w:r>
      <w:r>
        <w:rPr>
          <w:rFonts w:ascii="Verdana" w:hAnsi="Verdana"/>
          <w:sz w:val="20"/>
          <w:lang w:val="de-DE"/>
        </w:rPr>
        <w:t>handlungen)</w:t>
      </w:r>
      <w:r w:rsidRPr="006170DB">
        <w:rPr>
          <w:rFonts w:ascii="Verdana" w:hAnsi="Verdana"/>
          <w:sz w:val="20"/>
          <w:lang w:val="de-DE"/>
        </w:rPr>
        <w:t>?</w:t>
      </w:r>
      <w:r w:rsidRPr="00FE2758">
        <w:rPr>
          <w:rFonts w:ascii="Verdana" w:hAnsi="Verdana"/>
          <w:sz w:val="20"/>
          <w:lang w:val="de-DE"/>
        </w:rPr>
        <w:t xml:space="preserve"> </w:t>
      </w:r>
      <w:r w:rsidRPr="006170DB">
        <w:rPr>
          <w:rFonts w:ascii="Verdana" w:hAnsi="Verdana"/>
          <w:sz w:val="20"/>
          <w:lang w:val="de-DE"/>
        </w:rPr>
        <w:t>Entfaltet er Bindungswirkung?</w:t>
      </w:r>
    </w:p>
    <w:p w:rsidR="00324500" w:rsidRPr="006170DB" w:rsidRDefault="00324500" w:rsidP="00324500">
      <w:pPr>
        <w:tabs>
          <w:tab w:val="num" w:pos="440"/>
        </w:tabs>
        <w:ind w:left="440" w:hanging="440"/>
        <w:rPr>
          <w:rFonts w:ascii="Verdana" w:hAnsi="Verdana"/>
          <w:sz w:val="20"/>
          <w:lang w:val="de-DE"/>
        </w:rPr>
      </w:pPr>
    </w:p>
    <w:p w:rsidR="00324500" w:rsidRPr="006170DB" w:rsidRDefault="00324500" w:rsidP="00324500">
      <w:pPr>
        <w:numPr>
          <w:ilvl w:val="0"/>
          <w:numId w:val="11"/>
        </w:numPr>
        <w:tabs>
          <w:tab w:val="clear" w:pos="720"/>
          <w:tab w:val="num" w:pos="440"/>
        </w:tabs>
        <w:ind w:left="440" w:hanging="440"/>
        <w:rPr>
          <w:rFonts w:ascii="Verdana" w:hAnsi="Verdana"/>
          <w:b/>
          <w:sz w:val="20"/>
          <w:lang w:val="de-DE"/>
        </w:rPr>
      </w:pPr>
      <w:r>
        <w:rPr>
          <w:rFonts w:ascii="Verdana" w:hAnsi="Verdana"/>
          <w:sz w:val="20"/>
          <w:lang w:val="de-DE"/>
        </w:rPr>
        <w:t>Exklusivität, Vertraulichkeit, Gerichtsstand, anwendbares Recht regelmäßig bindend vereinbart; Rest bloße Absichtserklärung, aber Verstärkung der Pflic</w:t>
      </w:r>
      <w:r>
        <w:rPr>
          <w:rFonts w:ascii="Verdana" w:hAnsi="Verdana"/>
          <w:sz w:val="20"/>
          <w:lang w:val="de-DE"/>
        </w:rPr>
        <w:t>h</w:t>
      </w:r>
      <w:r>
        <w:rPr>
          <w:rFonts w:ascii="Verdana" w:hAnsi="Verdana"/>
          <w:sz w:val="20"/>
          <w:lang w:val="de-DE"/>
        </w:rPr>
        <w:t>ten aus CiC.</w:t>
      </w:r>
    </w:p>
    <w:p w:rsidR="00324500" w:rsidRPr="006170DB" w:rsidRDefault="00324500" w:rsidP="00324500">
      <w:pPr>
        <w:tabs>
          <w:tab w:val="num" w:pos="440"/>
        </w:tabs>
        <w:ind w:left="440" w:hanging="440"/>
        <w:rPr>
          <w:rFonts w:ascii="Verdana" w:hAnsi="Verdana"/>
          <w:sz w:val="20"/>
          <w:lang w:val="de-DE"/>
        </w:rPr>
      </w:pPr>
    </w:p>
    <w:p w:rsidR="00324500" w:rsidRPr="006170DB" w:rsidRDefault="00324500" w:rsidP="00324500">
      <w:pPr>
        <w:numPr>
          <w:ilvl w:val="0"/>
          <w:numId w:val="11"/>
        </w:numPr>
        <w:tabs>
          <w:tab w:val="clear" w:pos="720"/>
          <w:tab w:val="num" w:pos="440"/>
        </w:tabs>
        <w:ind w:left="440" w:hanging="440"/>
        <w:rPr>
          <w:rFonts w:ascii="Verdana" w:hAnsi="Verdana"/>
          <w:sz w:val="20"/>
          <w:lang w:val="de-DE"/>
        </w:rPr>
      </w:pPr>
      <w:r w:rsidRPr="006170DB">
        <w:rPr>
          <w:rFonts w:ascii="Verdana" w:hAnsi="Verdana"/>
          <w:sz w:val="20"/>
          <w:lang w:val="de-DE"/>
        </w:rPr>
        <w:t xml:space="preserve">Was ist sein typischer Inhalt? Welche Sanktionen sind zu erwarten, wenn eine der Parteien sich nicht daran hält? </w:t>
      </w:r>
    </w:p>
    <w:p w:rsidR="00324500" w:rsidRPr="006170DB" w:rsidRDefault="00324500" w:rsidP="00324500">
      <w:pPr>
        <w:tabs>
          <w:tab w:val="num" w:pos="440"/>
        </w:tabs>
        <w:ind w:left="440" w:hanging="440"/>
        <w:rPr>
          <w:rFonts w:ascii="Verdana" w:hAnsi="Verdana"/>
          <w:sz w:val="20"/>
          <w:lang w:val="de-DE"/>
        </w:rPr>
      </w:pPr>
    </w:p>
    <w:p w:rsidR="00324500" w:rsidRPr="006170DB" w:rsidRDefault="00324500" w:rsidP="00324500">
      <w:pPr>
        <w:numPr>
          <w:ilvl w:val="0"/>
          <w:numId w:val="11"/>
        </w:numPr>
        <w:tabs>
          <w:tab w:val="clear" w:pos="720"/>
          <w:tab w:val="num" w:pos="440"/>
        </w:tabs>
        <w:ind w:left="440" w:hanging="440"/>
        <w:rPr>
          <w:rFonts w:ascii="Verdana" w:hAnsi="Verdana"/>
          <w:sz w:val="20"/>
          <w:lang w:val="de-DE"/>
        </w:rPr>
      </w:pPr>
      <w:r w:rsidRPr="006170DB">
        <w:rPr>
          <w:rFonts w:ascii="Verdana" w:hAnsi="Verdana"/>
          <w:sz w:val="20"/>
          <w:lang w:val="de-DE"/>
        </w:rPr>
        <w:t>Üblicher Aufbau:</w:t>
      </w:r>
    </w:p>
    <w:p w:rsidR="00324500" w:rsidRPr="006170DB" w:rsidRDefault="00324500" w:rsidP="00324500">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Einleitung</w:t>
      </w:r>
    </w:p>
    <w:p w:rsidR="00324500" w:rsidRPr="006170DB" w:rsidRDefault="00324500" w:rsidP="00324500">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Bezeichnung der Vertragspartner</w:t>
      </w:r>
      <w:r>
        <w:rPr>
          <w:rFonts w:ascii="Verdana" w:hAnsi="Verdana"/>
          <w:sz w:val="20"/>
          <w:lang w:val="de-DE"/>
        </w:rPr>
        <w:t xml:space="preserve"> (Achtung: Unterschiedliche Verkäufer bei Asset Deal und Share Deal – möglicherweise ist der endgültige Käufer auch erst ein zu gründendes SPV – es muss klargestellt sein, wer jetzt die bi</w:t>
      </w:r>
      <w:r>
        <w:rPr>
          <w:rFonts w:ascii="Verdana" w:hAnsi="Verdana"/>
          <w:sz w:val="20"/>
          <w:lang w:val="de-DE"/>
        </w:rPr>
        <w:t>n</w:t>
      </w:r>
      <w:r>
        <w:rPr>
          <w:rFonts w:ascii="Verdana" w:hAnsi="Verdana"/>
          <w:sz w:val="20"/>
          <w:lang w:val="de-DE"/>
        </w:rPr>
        <w:t>denden Verpflichtungen aus dem LOI übernimmt und wen die Pflichten aus CiC treffen)</w:t>
      </w:r>
    </w:p>
    <w:p w:rsidR="00324500" w:rsidRPr="006170DB" w:rsidRDefault="00324500" w:rsidP="00324500">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Beschreibung des Kaufgegenstands</w:t>
      </w:r>
    </w:p>
    <w:p w:rsidR="00324500" w:rsidRPr="006170DB" w:rsidRDefault="00324500" w:rsidP="00324500">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Bewertung des Kaufgegenstands (die grobe Bewertung wird zwischen den Parteien meist schon vor Abgabe des LOI verhandelt</w:t>
      </w:r>
      <w:r>
        <w:rPr>
          <w:rFonts w:ascii="Verdana" w:hAnsi="Verdana"/>
          <w:sz w:val="20"/>
          <w:lang w:val="de-DE"/>
        </w:rPr>
        <w:t>, aber im LOI findet sich bereits die Formel für die Kaufpreisberechnung unter der Annahme, dass die bisher vorhandenen Informationen über den Gebäudezustand und die Mietverhältnisse zutreffend sind</w:t>
      </w:r>
      <w:r w:rsidRPr="006170DB">
        <w:rPr>
          <w:rFonts w:ascii="Verdana" w:hAnsi="Verdana"/>
          <w:sz w:val="20"/>
          <w:lang w:val="de-DE"/>
        </w:rPr>
        <w:t>)</w:t>
      </w:r>
    </w:p>
    <w:p w:rsidR="00324500" w:rsidRPr="006170DB" w:rsidRDefault="00324500" w:rsidP="00324500">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Bedingungen</w:t>
      </w:r>
      <w:r>
        <w:rPr>
          <w:rFonts w:ascii="Verdana" w:hAnsi="Verdana"/>
          <w:sz w:val="20"/>
          <w:lang w:val="de-DE"/>
        </w:rPr>
        <w:t xml:space="preserve"> – definieren CiC näher als im Gesetz vorgegeben, auch wenn meist immer noch Raum für Interpretationen bleibt (meist bewusst)</w:t>
      </w:r>
    </w:p>
    <w:p w:rsidR="00324500" w:rsidRPr="006170DB" w:rsidRDefault="00324500" w:rsidP="00324500">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Angaben zur Finanzierung</w:t>
      </w:r>
      <w:r>
        <w:rPr>
          <w:rFonts w:ascii="Verdana" w:hAnsi="Verdana"/>
          <w:sz w:val="20"/>
          <w:lang w:val="de-DE"/>
        </w:rPr>
        <w:t xml:space="preserve"> (derzeit ist wieder ein Verkäufermarkt, so dass die Käufer nur dann eine realistische Chance haben, wenn sie die Finanzi</w:t>
      </w:r>
      <w:r>
        <w:rPr>
          <w:rFonts w:ascii="Verdana" w:hAnsi="Verdana"/>
          <w:sz w:val="20"/>
          <w:lang w:val="de-DE"/>
        </w:rPr>
        <w:t>e</w:t>
      </w:r>
      <w:r>
        <w:rPr>
          <w:rFonts w:ascii="Verdana" w:hAnsi="Verdana"/>
          <w:sz w:val="20"/>
          <w:lang w:val="de-DE"/>
        </w:rPr>
        <w:t>rung bereits zu Beginn der Verhandlungen gesichert haben)</w:t>
      </w:r>
    </w:p>
    <w:p w:rsidR="00324500" w:rsidRDefault="00324500" w:rsidP="00324500">
      <w:pPr>
        <w:numPr>
          <w:ilvl w:val="1"/>
          <w:numId w:val="11"/>
        </w:numPr>
        <w:tabs>
          <w:tab w:val="clear" w:pos="1440"/>
          <w:tab w:val="num" w:pos="880"/>
        </w:tabs>
        <w:ind w:left="880" w:hanging="440"/>
        <w:rPr>
          <w:rFonts w:ascii="Verdana" w:hAnsi="Verdana"/>
          <w:sz w:val="20"/>
          <w:lang w:val="de-DE"/>
        </w:rPr>
      </w:pPr>
      <w:r>
        <w:rPr>
          <w:rFonts w:ascii="Verdana" w:hAnsi="Verdana"/>
          <w:sz w:val="20"/>
          <w:lang w:val="de-DE"/>
        </w:rPr>
        <w:t>zeitlicher Ablauf</w:t>
      </w:r>
      <w:r w:rsidRPr="006540D2">
        <w:rPr>
          <w:rFonts w:ascii="Verdana" w:hAnsi="Verdana"/>
          <w:sz w:val="20"/>
          <w:lang w:val="de-DE"/>
        </w:rPr>
        <w:t xml:space="preserve"> </w:t>
      </w:r>
      <w:r>
        <w:rPr>
          <w:rFonts w:ascii="Verdana" w:hAnsi="Verdana"/>
          <w:sz w:val="20"/>
          <w:lang w:val="de-DE"/>
        </w:rPr>
        <w:t xml:space="preserve">- </w:t>
      </w:r>
      <w:r w:rsidRPr="006170DB">
        <w:rPr>
          <w:rFonts w:ascii="Verdana" w:hAnsi="Verdana"/>
          <w:sz w:val="20"/>
          <w:lang w:val="de-DE"/>
        </w:rPr>
        <w:t>Due Diligence</w:t>
      </w:r>
    </w:p>
    <w:p w:rsidR="00324500" w:rsidRPr="006170DB" w:rsidRDefault="00324500" w:rsidP="00324500">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Exklusivität (diese</w:t>
      </w:r>
      <w:r>
        <w:rPr>
          <w:rFonts w:ascii="Verdana" w:hAnsi="Verdana"/>
          <w:sz w:val="20"/>
          <w:lang w:val="de-DE"/>
        </w:rPr>
        <w:t>r Punkt</w:t>
      </w:r>
      <w:r w:rsidRPr="006170DB">
        <w:rPr>
          <w:rFonts w:ascii="Verdana" w:hAnsi="Verdana"/>
          <w:sz w:val="20"/>
          <w:lang w:val="de-DE"/>
        </w:rPr>
        <w:t xml:space="preserve"> </w:t>
      </w:r>
      <w:r>
        <w:rPr>
          <w:rFonts w:ascii="Verdana" w:hAnsi="Verdana"/>
          <w:sz w:val="20"/>
          <w:lang w:val="de-DE"/>
        </w:rPr>
        <w:t>und die Vertraulichkeit sind</w:t>
      </w:r>
      <w:r w:rsidRPr="006170DB">
        <w:rPr>
          <w:rFonts w:ascii="Verdana" w:hAnsi="Verdana"/>
          <w:sz w:val="20"/>
          <w:lang w:val="de-DE"/>
        </w:rPr>
        <w:t xml:space="preserve"> in der Regel au</w:t>
      </w:r>
      <w:r w:rsidRPr="006170DB">
        <w:rPr>
          <w:rFonts w:ascii="Verdana" w:hAnsi="Verdana"/>
          <w:sz w:val="20"/>
          <w:lang w:val="de-DE"/>
        </w:rPr>
        <w:t>s</w:t>
      </w:r>
      <w:r w:rsidRPr="006170DB">
        <w:rPr>
          <w:rFonts w:ascii="Verdana" w:hAnsi="Verdana"/>
          <w:sz w:val="20"/>
          <w:lang w:val="de-DE"/>
        </w:rPr>
        <w:t xml:space="preserve">drücklich verbindlich und werden </w:t>
      </w:r>
      <w:r w:rsidR="009B26D6">
        <w:rPr>
          <w:rFonts w:ascii="Verdana" w:hAnsi="Verdana"/>
          <w:sz w:val="20"/>
          <w:lang w:val="de-DE"/>
        </w:rPr>
        <w:t xml:space="preserve">häufig auch </w:t>
      </w:r>
      <w:r w:rsidRPr="006170DB">
        <w:rPr>
          <w:rFonts w:ascii="Verdana" w:hAnsi="Verdana"/>
          <w:sz w:val="20"/>
          <w:lang w:val="de-DE"/>
        </w:rPr>
        <w:t>durch eine Vertragsstrafe abgesichert)</w:t>
      </w:r>
    </w:p>
    <w:p w:rsidR="00324500" w:rsidRDefault="00324500" w:rsidP="00324500">
      <w:pPr>
        <w:numPr>
          <w:ilvl w:val="1"/>
          <w:numId w:val="11"/>
        </w:numPr>
        <w:tabs>
          <w:tab w:val="clear" w:pos="1440"/>
          <w:tab w:val="num" w:pos="880"/>
        </w:tabs>
        <w:ind w:left="880" w:hanging="440"/>
        <w:rPr>
          <w:rFonts w:ascii="Verdana" w:hAnsi="Verdana"/>
          <w:sz w:val="20"/>
          <w:lang w:val="de-DE"/>
        </w:rPr>
      </w:pPr>
      <w:r>
        <w:rPr>
          <w:rFonts w:ascii="Verdana" w:hAnsi="Verdana"/>
          <w:sz w:val="20"/>
          <w:lang w:val="de-DE"/>
        </w:rPr>
        <w:t>Vertraulichkeit</w:t>
      </w:r>
    </w:p>
    <w:p w:rsidR="00324500" w:rsidRPr="006170DB" w:rsidRDefault="00324500" w:rsidP="00324500">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Berater und deren Kosten</w:t>
      </w:r>
    </w:p>
    <w:p w:rsidR="00324500" w:rsidRDefault="00324500" w:rsidP="00324500">
      <w:pPr>
        <w:numPr>
          <w:ilvl w:val="1"/>
          <w:numId w:val="11"/>
        </w:numPr>
        <w:tabs>
          <w:tab w:val="clear" w:pos="1440"/>
          <w:tab w:val="num" w:pos="880"/>
        </w:tabs>
        <w:ind w:left="880" w:hanging="440"/>
        <w:rPr>
          <w:rFonts w:ascii="Verdana" w:hAnsi="Verdana"/>
          <w:sz w:val="20"/>
          <w:lang w:val="de-DE"/>
        </w:rPr>
      </w:pPr>
      <w:r w:rsidRPr="006170DB">
        <w:rPr>
          <w:rFonts w:ascii="Verdana" w:hAnsi="Verdana"/>
          <w:sz w:val="20"/>
          <w:lang w:val="de-DE"/>
        </w:rPr>
        <w:t>Angaben zur Bindungswirkung</w:t>
      </w:r>
    </w:p>
    <w:p w:rsidR="00324500" w:rsidRPr="006170DB" w:rsidRDefault="00324500" w:rsidP="00324500">
      <w:pPr>
        <w:numPr>
          <w:ilvl w:val="1"/>
          <w:numId w:val="11"/>
        </w:numPr>
        <w:tabs>
          <w:tab w:val="clear" w:pos="1440"/>
          <w:tab w:val="num" w:pos="880"/>
        </w:tabs>
        <w:ind w:left="880" w:hanging="440"/>
        <w:rPr>
          <w:rFonts w:ascii="Verdana" w:hAnsi="Verdana"/>
          <w:sz w:val="20"/>
          <w:lang w:val="de-DE"/>
        </w:rPr>
      </w:pPr>
      <w:r>
        <w:rPr>
          <w:rFonts w:ascii="Verdana" w:hAnsi="Verdana"/>
          <w:sz w:val="20"/>
          <w:lang w:val="de-DE"/>
        </w:rPr>
        <w:t>Gerichtsstand, anwendbares Recht</w:t>
      </w:r>
    </w:p>
    <w:p w:rsidR="00AE4774" w:rsidRPr="002812E4" w:rsidRDefault="00AE4774" w:rsidP="00AE4774">
      <w:pPr>
        <w:rPr>
          <w:rFonts w:ascii="Verdana" w:hAnsi="Verdana"/>
          <w:sz w:val="20"/>
          <w:lang w:val="de-DE"/>
        </w:rPr>
      </w:pPr>
    </w:p>
    <w:p w:rsidR="00AE4774" w:rsidRDefault="00F64B38" w:rsidP="00324500">
      <w:pPr>
        <w:pStyle w:val="Sheading1"/>
        <w:keepNext/>
        <w:tabs>
          <w:tab w:val="clear" w:pos="680"/>
        </w:tabs>
        <w:ind w:left="425" w:hanging="425"/>
        <w:rPr>
          <w:rFonts w:ascii="Verdana" w:hAnsi="Verdana"/>
          <w:b/>
          <w:sz w:val="20"/>
          <w:lang w:val="de-DE"/>
        </w:rPr>
      </w:pPr>
      <w:r w:rsidRPr="00324500">
        <w:rPr>
          <w:rFonts w:ascii="Verdana" w:hAnsi="Verdana"/>
          <w:b/>
          <w:sz w:val="20"/>
          <w:lang w:val="de-DE"/>
        </w:rPr>
        <w:lastRenderedPageBreak/>
        <w:t>Ankauf der Liegenschaft durch den Immobilienentwickler:</w:t>
      </w:r>
    </w:p>
    <w:p w:rsidR="00F64B38" w:rsidRPr="00324500" w:rsidRDefault="00F64B38" w:rsidP="00A750FB">
      <w:pPr>
        <w:pStyle w:val="Sheading2"/>
        <w:tabs>
          <w:tab w:val="clear" w:pos="680"/>
          <w:tab w:val="num" w:pos="426"/>
        </w:tabs>
        <w:spacing w:before="240" w:after="60"/>
        <w:ind w:left="425" w:hanging="425"/>
        <w:rPr>
          <w:rFonts w:ascii="Verdana" w:hAnsi="Verdana"/>
          <w:b/>
          <w:sz w:val="20"/>
          <w:lang w:val="de-DE"/>
        </w:rPr>
      </w:pPr>
      <w:r w:rsidRPr="00324500">
        <w:rPr>
          <w:rFonts w:ascii="Verdana" w:hAnsi="Verdana"/>
          <w:b/>
          <w:sz w:val="20"/>
          <w:lang w:val="de-DE"/>
        </w:rPr>
        <w:t xml:space="preserve">Worauf muss der Immobilienentwickler </w:t>
      </w:r>
      <w:r w:rsidR="002812E4" w:rsidRPr="00324500">
        <w:rPr>
          <w:rFonts w:ascii="Verdana" w:hAnsi="Verdana"/>
          <w:b/>
          <w:sz w:val="20"/>
          <w:lang w:val="de-DE"/>
        </w:rPr>
        <w:t xml:space="preserve">in der DD besonders </w:t>
      </w:r>
      <w:r w:rsidRPr="00324500">
        <w:rPr>
          <w:rFonts w:ascii="Verdana" w:hAnsi="Verdana"/>
          <w:b/>
          <w:sz w:val="20"/>
          <w:lang w:val="de-DE"/>
        </w:rPr>
        <w:t>achten?</w:t>
      </w:r>
    </w:p>
    <w:p w:rsidR="00A750FB" w:rsidRDefault="00310281" w:rsidP="00A750FB">
      <w:pPr>
        <w:spacing w:before="240" w:after="60"/>
        <w:rPr>
          <w:rFonts w:ascii="Verdana" w:hAnsi="Verdana"/>
          <w:sz w:val="20"/>
          <w:lang w:val="de-DE"/>
        </w:rPr>
      </w:pPr>
      <w:r>
        <w:rPr>
          <w:rFonts w:ascii="Verdana" w:hAnsi="Verdana"/>
          <w:sz w:val="20"/>
          <w:lang w:val="de-DE"/>
        </w:rPr>
        <w:t>Eine DD muss umfassend alle Aspekte abdecken – neben der rechtlichen DD sind noch eine technische DD, eine steuerliche DD und eine wirtschaftliche DD hinsich</w:t>
      </w:r>
      <w:r>
        <w:rPr>
          <w:rFonts w:ascii="Verdana" w:hAnsi="Verdana"/>
          <w:sz w:val="20"/>
          <w:lang w:val="de-DE"/>
        </w:rPr>
        <w:t>t</w:t>
      </w:r>
      <w:r>
        <w:rPr>
          <w:rFonts w:ascii="Verdana" w:hAnsi="Verdana"/>
          <w:sz w:val="20"/>
          <w:lang w:val="de-DE"/>
        </w:rPr>
        <w:t xml:space="preserve">lich der </w:t>
      </w:r>
      <w:r w:rsidR="00C31B74">
        <w:rPr>
          <w:rFonts w:ascii="Verdana" w:hAnsi="Verdana"/>
          <w:sz w:val="20"/>
          <w:lang w:val="de-DE"/>
        </w:rPr>
        <w:t>Mietverhältnisse</w:t>
      </w:r>
      <w:r w:rsidR="00A750FB">
        <w:rPr>
          <w:rFonts w:ascii="Verdana" w:hAnsi="Verdana"/>
          <w:sz w:val="20"/>
          <w:lang w:val="de-DE"/>
        </w:rPr>
        <w:t xml:space="preserve"> und</w:t>
      </w:r>
      <w:r w:rsidR="00C31B74">
        <w:rPr>
          <w:rFonts w:ascii="Verdana" w:hAnsi="Verdana"/>
          <w:sz w:val="20"/>
          <w:lang w:val="de-DE"/>
        </w:rPr>
        <w:t xml:space="preserve"> </w:t>
      </w:r>
      <w:r>
        <w:rPr>
          <w:rFonts w:ascii="Verdana" w:hAnsi="Verdana"/>
          <w:sz w:val="20"/>
          <w:lang w:val="de-DE"/>
        </w:rPr>
        <w:t>der Wiedervermietungs</w:t>
      </w:r>
      <w:r w:rsidR="00C31B74">
        <w:rPr>
          <w:rFonts w:ascii="Verdana" w:hAnsi="Verdana"/>
          <w:sz w:val="20"/>
          <w:lang w:val="de-DE"/>
        </w:rPr>
        <w:t>möglichkeiten</w:t>
      </w:r>
      <w:r>
        <w:rPr>
          <w:rFonts w:ascii="Verdana" w:hAnsi="Verdana"/>
          <w:sz w:val="20"/>
          <w:lang w:val="de-DE"/>
        </w:rPr>
        <w:t xml:space="preserve"> erforderlich.</w:t>
      </w:r>
      <w:r w:rsidR="00C31B74">
        <w:rPr>
          <w:rFonts w:ascii="Verdana" w:hAnsi="Verdana"/>
          <w:sz w:val="20"/>
          <w:lang w:val="de-DE"/>
        </w:rPr>
        <w:t xml:space="preserve"> </w:t>
      </w:r>
    </w:p>
    <w:p w:rsidR="00310281" w:rsidRDefault="00A750FB" w:rsidP="00A750FB">
      <w:pPr>
        <w:spacing w:before="240" w:after="60"/>
        <w:rPr>
          <w:rFonts w:ascii="Verdana" w:hAnsi="Verdana"/>
          <w:sz w:val="20"/>
          <w:lang w:val="de-DE"/>
        </w:rPr>
      </w:pPr>
      <w:r>
        <w:rPr>
          <w:rFonts w:ascii="Verdana" w:hAnsi="Verdana"/>
          <w:sz w:val="20"/>
          <w:lang w:val="de-DE"/>
        </w:rPr>
        <w:t>B</w:t>
      </w:r>
      <w:r w:rsidR="00C31B74">
        <w:rPr>
          <w:rFonts w:ascii="Verdana" w:hAnsi="Verdana"/>
          <w:sz w:val="20"/>
          <w:lang w:val="de-DE"/>
        </w:rPr>
        <w:t>ei</w:t>
      </w:r>
      <w:r w:rsidR="000857BC">
        <w:rPr>
          <w:rFonts w:ascii="Verdana" w:hAnsi="Verdana"/>
          <w:sz w:val="20"/>
          <w:lang w:val="de-DE"/>
        </w:rPr>
        <w:t xml:space="preserve"> </w:t>
      </w:r>
      <w:r>
        <w:rPr>
          <w:rFonts w:ascii="Verdana" w:hAnsi="Verdana"/>
          <w:sz w:val="20"/>
          <w:lang w:val="de-DE"/>
        </w:rPr>
        <w:t xml:space="preserve">der DD </w:t>
      </w:r>
      <w:r w:rsidR="000857BC">
        <w:rPr>
          <w:rFonts w:ascii="Verdana" w:hAnsi="Verdana"/>
          <w:sz w:val="20"/>
          <w:lang w:val="de-DE"/>
        </w:rPr>
        <w:t xml:space="preserve">muss insbesondere </w:t>
      </w:r>
      <w:r w:rsidR="00C31B74">
        <w:rPr>
          <w:rFonts w:ascii="Verdana" w:hAnsi="Verdana"/>
          <w:sz w:val="20"/>
          <w:lang w:val="de-DE"/>
        </w:rPr>
        <w:t>auf logische Zusammenhänge, wie zB offengelegte Verträge vs offenkundige Informationen (</w:t>
      </w:r>
      <w:r w:rsidR="00910A56">
        <w:rPr>
          <w:rFonts w:ascii="Verdana" w:hAnsi="Verdana"/>
          <w:sz w:val="20"/>
          <w:lang w:val="de-DE"/>
        </w:rPr>
        <w:t>zB</w:t>
      </w:r>
      <w:r w:rsidR="00C31B74">
        <w:rPr>
          <w:rFonts w:ascii="Verdana" w:hAnsi="Verdana"/>
          <w:sz w:val="20"/>
          <w:lang w:val="de-DE"/>
        </w:rPr>
        <w:t xml:space="preserve"> 10 Mietgegenstände, nur 5 Mietvertr</w:t>
      </w:r>
      <w:r w:rsidR="00C31B74">
        <w:rPr>
          <w:rFonts w:ascii="Verdana" w:hAnsi="Verdana"/>
          <w:sz w:val="20"/>
          <w:lang w:val="de-DE"/>
        </w:rPr>
        <w:t>ä</w:t>
      </w:r>
      <w:r w:rsidR="00C31B74">
        <w:rPr>
          <w:rFonts w:ascii="Verdana" w:hAnsi="Verdana"/>
          <w:sz w:val="20"/>
          <w:lang w:val="de-DE"/>
        </w:rPr>
        <w:t>ge) geachtet werden.</w:t>
      </w:r>
      <w:r w:rsidR="000857BC">
        <w:rPr>
          <w:rFonts w:ascii="Verdana" w:hAnsi="Verdana"/>
          <w:sz w:val="20"/>
          <w:lang w:val="de-DE"/>
        </w:rPr>
        <w:t xml:space="preserve"> Es ist auch wichtig, die einzelnen Teile der DD hinsichtlich der Schnittstellen zu koordinieren – insbesondere bei den öffentlich-rechtlichen Bewill</w:t>
      </w:r>
      <w:r w:rsidR="000857BC">
        <w:rPr>
          <w:rFonts w:ascii="Verdana" w:hAnsi="Verdana"/>
          <w:sz w:val="20"/>
          <w:lang w:val="de-DE"/>
        </w:rPr>
        <w:t>i</w:t>
      </w:r>
      <w:r w:rsidR="000857BC">
        <w:rPr>
          <w:rFonts w:ascii="Verdana" w:hAnsi="Verdana"/>
          <w:sz w:val="20"/>
          <w:lang w:val="de-DE"/>
        </w:rPr>
        <w:t>gungen muss klargestellt werden, dass in der rechtlichen DD nur die vorhandenen und die anhand der Nutzung möglicherweise erforderlichen Genehmigungen wie zum Beispiel Baugenehmigung, gewerberechtliche Betriebsanlagengenehmigung, Umweltverträglichkeitsprüfung, aufgezählt werden, während in der technischen DD die Übereinstimmung des vorhandenen Gebäudes mit den vorliegenden Bewilligu</w:t>
      </w:r>
      <w:r w:rsidR="000857BC">
        <w:rPr>
          <w:rFonts w:ascii="Verdana" w:hAnsi="Verdana"/>
          <w:sz w:val="20"/>
          <w:lang w:val="de-DE"/>
        </w:rPr>
        <w:t>n</w:t>
      </w:r>
      <w:r w:rsidR="000857BC">
        <w:rPr>
          <w:rFonts w:ascii="Verdana" w:hAnsi="Verdana"/>
          <w:sz w:val="20"/>
          <w:lang w:val="de-DE"/>
        </w:rPr>
        <w:t>gen überprüft wird.</w:t>
      </w:r>
      <w:r w:rsidR="006A5BAA">
        <w:rPr>
          <w:rFonts w:ascii="Verdana" w:hAnsi="Verdana"/>
          <w:sz w:val="20"/>
          <w:lang w:val="de-DE"/>
        </w:rPr>
        <w:t xml:space="preserve"> Auch an der Schnittstelle zur wirtschaftlichen DD muss zB kla</w:t>
      </w:r>
      <w:r w:rsidR="006A5BAA">
        <w:rPr>
          <w:rFonts w:ascii="Verdana" w:hAnsi="Verdana"/>
          <w:sz w:val="20"/>
          <w:lang w:val="de-DE"/>
        </w:rPr>
        <w:t>r</w:t>
      </w:r>
      <w:r w:rsidR="006A5BAA">
        <w:rPr>
          <w:rFonts w:ascii="Verdana" w:hAnsi="Verdana"/>
          <w:sz w:val="20"/>
          <w:lang w:val="de-DE"/>
        </w:rPr>
        <w:t>gestellt werden, wer aus den Mietverträgen heraus liest, wie hoch das Mietentgelt ist, wie es wertgesichert ist und wann der Mietvertrag endet bzw. der Mieter ers</w:t>
      </w:r>
      <w:r w:rsidR="006A5BAA">
        <w:rPr>
          <w:rFonts w:ascii="Verdana" w:hAnsi="Verdana"/>
          <w:sz w:val="20"/>
          <w:lang w:val="de-DE"/>
        </w:rPr>
        <w:t>t</w:t>
      </w:r>
      <w:r w:rsidR="006A5BAA">
        <w:rPr>
          <w:rFonts w:ascii="Verdana" w:hAnsi="Verdana"/>
          <w:sz w:val="20"/>
          <w:lang w:val="de-DE"/>
        </w:rPr>
        <w:t>mals ordentlich kündigen kann. Hier ist es meist effizienter, wenn diese Informati</w:t>
      </w:r>
      <w:r w:rsidR="006A5BAA">
        <w:rPr>
          <w:rFonts w:ascii="Verdana" w:hAnsi="Verdana"/>
          <w:sz w:val="20"/>
          <w:lang w:val="de-DE"/>
        </w:rPr>
        <w:t>o</w:t>
      </w:r>
      <w:r w:rsidR="006A5BAA">
        <w:rPr>
          <w:rFonts w:ascii="Verdana" w:hAnsi="Verdana"/>
          <w:sz w:val="20"/>
          <w:lang w:val="de-DE"/>
        </w:rPr>
        <w:t>nen von der rechtlichen DD herauskommen und die wirtschaftliche DD dann daran ansetzt, die Wertsicherung nach dem Vertrag zu berechnen und mit den tatsächl</w:t>
      </w:r>
      <w:r w:rsidR="006A5BAA">
        <w:rPr>
          <w:rFonts w:ascii="Verdana" w:hAnsi="Verdana"/>
          <w:sz w:val="20"/>
          <w:lang w:val="de-DE"/>
        </w:rPr>
        <w:t>i</w:t>
      </w:r>
      <w:r w:rsidR="006A5BAA">
        <w:rPr>
          <w:rFonts w:ascii="Verdana" w:hAnsi="Verdana"/>
          <w:sz w:val="20"/>
          <w:lang w:val="de-DE"/>
        </w:rPr>
        <w:t>chen Mietvorschreibungen zu vergleichen und die Restlaufzeiten der Mietverträge darzustellen.</w:t>
      </w:r>
    </w:p>
    <w:p w:rsidR="00A750FB" w:rsidRDefault="00310281" w:rsidP="00A750FB">
      <w:pPr>
        <w:spacing w:before="240" w:after="60"/>
        <w:rPr>
          <w:rFonts w:ascii="Verdana" w:hAnsi="Verdana"/>
          <w:sz w:val="20"/>
          <w:lang w:val="de-DE"/>
        </w:rPr>
      </w:pPr>
      <w:r>
        <w:rPr>
          <w:rFonts w:ascii="Verdana" w:hAnsi="Verdana"/>
          <w:sz w:val="20"/>
          <w:lang w:val="de-DE"/>
        </w:rPr>
        <w:t xml:space="preserve">Die Konsequenzen aus den Ergebnissen einer DD sind </w:t>
      </w:r>
    </w:p>
    <w:p w:rsidR="00A750FB" w:rsidRDefault="00310281" w:rsidP="00A750FB">
      <w:pPr>
        <w:pStyle w:val="ListParagraph"/>
        <w:numPr>
          <w:ilvl w:val="0"/>
          <w:numId w:val="25"/>
        </w:numPr>
        <w:spacing w:before="240" w:after="60"/>
        <w:rPr>
          <w:rFonts w:ascii="Verdana" w:hAnsi="Verdana"/>
          <w:sz w:val="20"/>
          <w:lang w:val="de-DE"/>
        </w:rPr>
      </w:pPr>
      <w:r w:rsidRPr="00A750FB">
        <w:rPr>
          <w:rFonts w:ascii="Verdana" w:hAnsi="Verdana"/>
          <w:sz w:val="20"/>
          <w:lang w:val="de-DE"/>
        </w:rPr>
        <w:t xml:space="preserve">der Abbruch der Verhandlungen ("Deal Breaker"), </w:t>
      </w:r>
    </w:p>
    <w:p w:rsidR="00A750FB" w:rsidRDefault="00310281" w:rsidP="00A750FB">
      <w:pPr>
        <w:pStyle w:val="ListParagraph"/>
        <w:numPr>
          <w:ilvl w:val="0"/>
          <w:numId w:val="25"/>
        </w:numPr>
        <w:spacing w:before="240" w:after="60"/>
        <w:rPr>
          <w:rFonts w:ascii="Verdana" w:hAnsi="Verdana"/>
          <w:sz w:val="20"/>
          <w:lang w:val="de-DE"/>
        </w:rPr>
      </w:pPr>
      <w:r w:rsidRPr="00A750FB">
        <w:rPr>
          <w:rFonts w:ascii="Verdana" w:hAnsi="Verdana"/>
          <w:sz w:val="20"/>
          <w:lang w:val="de-DE"/>
        </w:rPr>
        <w:t xml:space="preserve">die Verpflichtung des Verkäufers, bis zum Closing noch Schritte zu setzen und einen bestimmten Zustand herzustellen, </w:t>
      </w:r>
    </w:p>
    <w:p w:rsidR="00A750FB" w:rsidRDefault="00310281" w:rsidP="00A750FB">
      <w:pPr>
        <w:pStyle w:val="ListParagraph"/>
        <w:numPr>
          <w:ilvl w:val="0"/>
          <w:numId w:val="25"/>
        </w:numPr>
        <w:spacing w:before="240" w:after="60"/>
        <w:rPr>
          <w:rFonts w:ascii="Verdana" w:hAnsi="Verdana"/>
          <w:sz w:val="20"/>
          <w:lang w:val="de-DE"/>
        </w:rPr>
      </w:pPr>
      <w:r w:rsidRPr="00A750FB">
        <w:rPr>
          <w:rFonts w:ascii="Verdana" w:hAnsi="Verdana"/>
          <w:sz w:val="20"/>
          <w:lang w:val="de-DE"/>
        </w:rPr>
        <w:t>eine Gewährleistungs-/Garantiezusage, dass ein bestimmter Zustand geg</w:t>
      </w:r>
      <w:r w:rsidRPr="00A750FB">
        <w:rPr>
          <w:rFonts w:ascii="Verdana" w:hAnsi="Verdana"/>
          <w:sz w:val="20"/>
          <w:lang w:val="de-DE"/>
        </w:rPr>
        <w:t>e</w:t>
      </w:r>
      <w:r w:rsidRPr="00A750FB">
        <w:rPr>
          <w:rFonts w:ascii="Verdana" w:hAnsi="Verdana"/>
          <w:sz w:val="20"/>
          <w:lang w:val="de-DE"/>
        </w:rPr>
        <w:t xml:space="preserve">ben ist, </w:t>
      </w:r>
    </w:p>
    <w:p w:rsidR="00A750FB" w:rsidRDefault="00310281" w:rsidP="00A750FB">
      <w:pPr>
        <w:pStyle w:val="ListParagraph"/>
        <w:numPr>
          <w:ilvl w:val="0"/>
          <w:numId w:val="25"/>
        </w:numPr>
        <w:spacing w:before="240" w:after="60"/>
        <w:rPr>
          <w:rFonts w:ascii="Verdana" w:hAnsi="Verdana"/>
          <w:sz w:val="20"/>
          <w:lang w:val="de-DE"/>
        </w:rPr>
      </w:pPr>
      <w:r w:rsidRPr="00A750FB">
        <w:rPr>
          <w:rFonts w:ascii="Verdana" w:hAnsi="Verdana"/>
          <w:sz w:val="20"/>
          <w:lang w:val="de-DE"/>
        </w:rPr>
        <w:t>eine Reduktion des Kaufpreises.</w:t>
      </w:r>
      <w:r w:rsidR="00C31B74" w:rsidRPr="00A750FB">
        <w:rPr>
          <w:rFonts w:ascii="Verdana" w:hAnsi="Verdana"/>
          <w:sz w:val="20"/>
          <w:lang w:val="de-DE"/>
        </w:rPr>
        <w:t xml:space="preserve"> </w:t>
      </w:r>
    </w:p>
    <w:p w:rsidR="00A750FB" w:rsidRDefault="00C31B74" w:rsidP="00A750FB">
      <w:pPr>
        <w:pStyle w:val="ListParagraph"/>
        <w:spacing w:before="240" w:after="60"/>
        <w:ind w:left="0"/>
        <w:rPr>
          <w:rFonts w:ascii="Verdana" w:hAnsi="Verdana"/>
          <w:sz w:val="20"/>
          <w:lang w:val="de-DE"/>
        </w:rPr>
      </w:pPr>
      <w:r w:rsidRPr="00A750FB">
        <w:rPr>
          <w:rFonts w:ascii="Verdana" w:hAnsi="Verdana"/>
          <w:sz w:val="20"/>
          <w:lang w:val="de-DE"/>
        </w:rPr>
        <w:t xml:space="preserve">Im Report werden die gefundenen Probleme gereiht </w:t>
      </w:r>
      <w:r w:rsidR="000857BC" w:rsidRPr="00A750FB">
        <w:rPr>
          <w:rFonts w:ascii="Verdana" w:hAnsi="Verdana"/>
          <w:sz w:val="20"/>
          <w:lang w:val="de-DE"/>
        </w:rPr>
        <w:t xml:space="preserve">("Red Flag Report" ist heute üblich und ein deskriptiver Report kommt </w:t>
      </w:r>
      <w:r w:rsidR="00A750FB">
        <w:rPr>
          <w:rFonts w:ascii="Verdana" w:hAnsi="Verdana"/>
          <w:sz w:val="20"/>
          <w:lang w:val="de-DE"/>
        </w:rPr>
        <w:t>so</w:t>
      </w:r>
      <w:r w:rsidR="000857BC" w:rsidRPr="00A750FB">
        <w:rPr>
          <w:rFonts w:ascii="Verdana" w:hAnsi="Verdana"/>
          <w:sz w:val="20"/>
          <w:lang w:val="de-DE"/>
        </w:rPr>
        <w:t xml:space="preserve"> gut wie nicht mehr vor) </w:t>
      </w:r>
      <w:r w:rsidRPr="00A750FB">
        <w:rPr>
          <w:rFonts w:ascii="Verdana" w:hAnsi="Verdana"/>
          <w:sz w:val="20"/>
          <w:lang w:val="de-DE"/>
        </w:rPr>
        <w:t>und je nach Relevanz für den Käufer in den zu erstellenden Kaufverträgen berücksichtigt.</w:t>
      </w:r>
      <w:r w:rsidR="000857BC" w:rsidRPr="00A750FB">
        <w:rPr>
          <w:rFonts w:ascii="Verdana" w:hAnsi="Verdana"/>
          <w:sz w:val="20"/>
          <w:lang w:val="de-DE"/>
        </w:rPr>
        <w:t xml:space="preserve"> </w:t>
      </w:r>
    </w:p>
    <w:p w:rsidR="00A750FB" w:rsidRDefault="000857BC" w:rsidP="00A750FB">
      <w:pPr>
        <w:pStyle w:val="ListParagraph"/>
        <w:spacing w:before="240" w:after="60"/>
        <w:ind w:left="0"/>
        <w:rPr>
          <w:rFonts w:ascii="Verdana" w:hAnsi="Verdana"/>
          <w:sz w:val="20"/>
          <w:lang w:val="de-DE"/>
        </w:rPr>
      </w:pPr>
      <w:r w:rsidRPr="00A750FB">
        <w:rPr>
          <w:rFonts w:ascii="Verdana" w:hAnsi="Verdana"/>
          <w:sz w:val="20"/>
          <w:lang w:val="de-DE"/>
        </w:rPr>
        <w:t>Hier ist es auch wichtig, dass der Vertragserrichter die Ergebnisse der anderen DD-Prüfungen erhält und bespricht, damit er auch diese im Kaufvertrag berücksichtigen kann. Es muss auch sichergestellt werden, dass im Zuge der Erstellung der einze</w:t>
      </w:r>
      <w:r w:rsidRPr="00A750FB">
        <w:rPr>
          <w:rFonts w:ascii="Verdana" w:hAnsi="Verdana"/>
          <w:sz w:val="20"/>
          <w:lang w:val="de-DE"/>
        </w:rPr>
        <w:t>l</w:t>
      </w:r>
      <w:r w:rsidRPr="00A750FB">
        <w:rPr>
          <w:rFonts w:ascii="Verdana" w:hAnsi="Verdana"/>
          <w:sz w:val="20"/>
          <w:lang w:val="de-DE"/>
        </w:rPr>
        <w:t xml:space="preserve">nen DD-Berichte es jeweils eine Rückmeldung gibt, wenn in einem Bereich etwas </w:t>
      </w:r>
      <w:r w:rsidRPr="00A750FB">
        <w:rPr>
          <w:rFonts w:ascii="Verdana" w:hAnsi="Verdana"/>
          <w:sz w:val="20"/>
          <w:lang w:val="de-DE"/>
        </w:rPr>
        <w:lastRenderedPageBreak/>
        <w:t>aufgefunden wird, was möglicherweise im anderen Bereich berücksichtigt werden muss.</w:t>
      </w:r>
    </w:p>
    <w:p w:rsidR="00310281" w:rsidRPr="00A750FB" w:rsidRDefault="00A750FB" w:rsidP="00A750FB">
      <w:pPr>
        <w:pStyle w:val="ListParagraph"/>
        <w:spacing w:before="240" w:after="60"/>
        <w:ind w:left="0"/>
        <w:rPr>
          <w:rFonts w:ascii="Verdana" w:hAnsi="Verdana"/>
          <w:sz w:val="20"/>
          <w:lang w:val="de-DE"/>
        </w:rPr>
      </w:pPr>
      <w:r>
        <w:rPr>
          <w:rFonts w:ascii="Verdana" w:hAnsi="Verdana"/>
          <w:sz w:val="20"/>
          <w:lang w:val="de-DE"/>
        </w:rPr>
        <w:t>Es ist auch meist Aufgabe des Vertragserrichter, entweder gemeinsam mit dem endverhandelten Vertrag vor Unterschrift oder nach Unterzeichnung die DD-Berichte und deren Ergebnisse dahingehend nach zu verfolgen, das angeführt wird, wie mit den einzelnen aufgefundenen Problemen umgegangen worden ist.</w:t>
      </w:r>
    </w:p>
    <w:p w:rsidR="00937CD8" w:rsidRPr="002812E4" w:rsidRDefault="00F64B38" w:rsidP="00A750FB">
      <w:pPr>
        <w:pStyle w:val="ListParagraph"/>
        <w:spacing w:before="240" w:after="60"/>
        <w:ind w:left="0"/>
        <w:rPr>
          <w:rFonts w:ascii="Verdana" w:hAnsi="Verdana"/>
          <w:sz w:val="20"/>
          <w:lang w:val="de-DE"/>
        </w:rPr>
      </w:pPr>
      <w:r w:rsidRPr="002812E4">
        <w:rPr>
          <w:rFonts w:ascii="Verdana" w:hAnsi="Verdana"/>
          <w:sz w:val="20"/>
          <w:lang w:val="de-DE"/>
        </w:rPr>
        <w:t xml:space="preserve">Eine Reihe von Faktoren hat Einfluss auf die Verwertbarkeit der Liegenschaft. Dies sind sowohl </w:t>
      </w:r>
      <w:r w:rsidRPr="002812E4">
        <w:rPr>
          <w:rFonts w:ascii="Verdana" w:hAnsi="Verdana"/>
          <w:b/>
          <w:sz w:val="20"/>
          <w:lang w:val="de-DE"/>
        </w:rPr>
        <w:t>wirtschaftliche</w:t>
      </w:r>
      <w:r w:rsidRPr="002812E4">
        <w:rPr>
          <w:rFonts w:ascii="Verdana" w:hAnsi="Verdana"/>
          <w:sz w:val="20"/>
          <w:lang w:val="de-DE"/>
        </w:rPr>
        <w:t xml:space="preserve"> Faktoren, als auch </w:t>
      </w:r>
      <w:r w:rsidRPr="002812E4">
        <w:rPr>
          <w:rFonts w:ascii="Verdana" w:hAnsi="Verdana"/>
          <w:b/>
          <w:sz w:val="20"/>
          <w:lang w:val="de-DE"/>
        </w:rPr>
        <w:t>rechtliche</w:t>
      </w:r>
      <w:r w:rsidRPr="002812E4">
        <w:rPr>
          <w:rFonts w:ascii="Verdana" w:hAnsi="Verdana"/>
          <w:sz w:val="20"/>
          <w:lang w:val="de-DE"/>
        </w:rPr>
        <w:t>. Beide Kategorien di</w:t>
      </w:r>
      <w:r w:rsidRPr="002812E4">
        <w:rPr>
          <w:rFonts w:ascii="Verdana" w:hAnsi="Verdana"/>
          <w:sz w:val="20"/>
          <w:lang w:val="de-DE"/>
        </w:rPr>
        <w:t>e</w:t>
      </w:r>
      <w:r w:rsidRPr="002812E4">
        <w:rPr>
          <w:rFonts w:ascii="Verdana" w:hAnsi="Verdana"/>
          <w:sz w:val="20"/>
          <w:lang w:val="de-DE"/>
        </w:rPr>
        <w:t>ser Faktoren sind jedoch untereinander stark verknüpft, sodass rechtliche Faktoren fast immer auch direkten Einfluss auf die wirtschaftliche Nutzbarkeit (und umg</w:t>
      </w:r>
      <w:r w:rsidRPr="002812E4">
        <w:rPr>
          <w:rFonts w:ascii="Verdana" w:hAnsi="Verdana"/>
          <w:sz w:val="20"/>
          <w:lang w:val="de-DE"/>
        </w:rPr>
        <w:t>e</w:t>
      </w:r>
      <w:r w:rsidRPr="002812E4">
        <w:rPr>
          <w:rFonts w:ascii="Verdana" w:hAnsi="Verdana"/>
          <w:sz w:val="20"/>
          <w:lang w:val="de-DE"/>
        </w:rPr>
        <w:t>kehrt) ha</w:t>
      </w:r>
      <w:r w:rsidR="00937CD8" w:rsidRPr="002812E4">
        <w:rPr>
          <w:rFonts w:ascii="Verdana" w:hAnsi="Verdana"/>
          <w:sz w:val="20"/>
          <w:lang w:val="de-DE"/>
        </w:rPr>
        <w:t>ben.</w:t>
      </w:r>
    </w:p>
    <w:p w:rsidR="00937CD8" w:rsidRPr="002812E4" w:rsidRDefault="00937CD8" w:rsidP="00A750FB">
      <w:pPr>
        <w:pStyle w:val="ListParagraph"/>
        <w:spacing w:before="240" w:after="60"/>
        <w:ind w:left="0"/>
        <w:rPr>
          <w:rFonts w:ascii="Verdana" w:hAnsi="Verdana"/>
          <w:sz w:val="20"/>
          <w:lang w:val="de-DE"/>
        </w:rPr>
      </w:pPr>
      <w:r w:rsidRPr="002812E4">
        <w:rPr>
          <w:rFonts w:ascii="Verdana" w:hAnsi="Verdana"/>
          <w:sz w:val="20"/>
          <w:lang w:val="de-DE"/>
        </w:rPr>
        <w:t>Die wichtigsten Faktoren sind</w:t>
      </w:r>
    </w:p>
    <w:p w:rsidR="00937CD8" w:rsidRPr="002812E4" w:rsidRDefault="00937CD8" w:rsidP="00937CD8">
      <w:pPr>
        <w:numPr>
          <w:ilvl w:val="0"/>
          <w:numId w:val="13"/>
        </w:numPr>
        <w:rPr>
          <w:rFonts w:ascii="Verdana" w:hAnsi="Verdana"/>
          <w:sz w:val="20"/>
          <w:lang w:val="de-DE"/>
        </w:rPr>
      </w:pPr>
      <w:r w:rsidRPr="002812E4">
        <w:rPr>
          <w:rFonts w:ascii="Verdana" w:hAnsi="Verdana"/>
          <w:sz w:val="20"/>
          <w:lang w:val="de-DE"/>
        </w:rPr>
        <w:t>Größe</w:t>
      </w:r>
    </w:p>
    <w:p w:rsidR="00937CD8" w:rsidRPr="002812E4" w:rsidRDefault="00937CD8" w:rsidP="00937CD8">
      <w:pPr>
        <w:numPr>
          <w:ilvl w:val="0"/>
          <w:numId w:val="13"/>
        </w:numPr>
        <w:rPr>
          <w:rFonts w:ascii="Verdana" w:hAnsi="Verdana"/>
          <w:sz w:val="20"/>
          <w:lang w:val="de-DE"/>
        </w:rPr>
      </w:pPr>
      <w:r w:rsidRPr="002812E4">
        <w:rPr>
          <w:rFonts w:ascii="Verdana" w:hAnsi="Verdana"/>
          <w:sz w:val="20"/>
          <w:lang w:val="de-DE"/>
        </w:rPr>
        <w:t>Bauklasse</w:t>
      </w:r>
    </w:p>
    <w:p w:rsidR="00937CD8" w:rsidRPr="002812E4" w:rsidRDefault="00F64B38" w:rsidP="00937CD8">
      <w:pPr>
        <w:numPr>
          <w:ilvl w:val="0"/>
          <w:numId w:val="13"/>
        </w:numPr>
        <w:rPr>
          <w:rFonts w:ascii="Verdana" w:hAnsi="Verdana"/>
          <w:sz w:val="20"/>
          <w:lang w:val="de-DE"/>
        </w:rPr>
      </w:pPr>
      <w:r w:rsidRPr="002812E4">
        <w:rPr>
          <w:rFonts w:ascii="Verdana" w:hAnsi="Verdana"/>
          <w:sz w:val="20"/>
          <w:lang w:val="de-DE"/>
        </w:rPr>
        <w:t>Bebauungsdichte</w:t>
      </w:r>
    </w:p>
    <w:p w:rsidR="00937CD8" w:rsidRPr="002812E4" w:rsidRDefault="00F64B38" w:rsidP="00937CD8">
      <w:pPr>
        <w:numPr>
          <w:ilvl w:val="0"/>
          <w:numId w:val="13"/>
        </w:numPr>
        <w:rPr>
          <w:rFonts w:ascii="Verdana" w:hAnsi="Verdana"/>
          <w:sz w:val="20"/>
          <w:lang w:val="de-DE"/>
        </w:rPr>
      </w:pPr>
      <w:r w:rsidRPr="002812E4">
        <w:rPr>
          <w:rFonts w:ascii="Verdana" w:hAnsi="Verdana"/>
          <w:sz w:val="20"/>
          <w:lang w:val="de-DE"/>
        </w:rPr>
        <w:t>Nutzfläche</w:t>
      </w:r>
    </w:p>
    <w:p w:rsidR="00937CD8" w:rsidRPr="002812E4" w:rsidRDefault="00F64B38" w:rsidP="00937CD8">
      <w:pPr>
        <w:numPr>
          <w:ilvl w:val="0"/>
          <w:numId w:val="13"/>
        </w:numPr>
        <w:rPr>
          <w:rFonts w:ascii="Verdana" w:hAnsi="Verdana"/>
          <w:sz w:val="20"/>
          <w:lang w:val="de-DE"/>
        </w:rPr>
      </w:pPr>
      <w:r w:rsidRPr="002812E4">
        <w:rPr>
          <w:rFonts w:ascii="Verdana" w:hAnsi="Verdana"/>
          <w:sz w:val="20"/>
          <w:lang w:val="de-DE"/>
        </w:rPr>
        <w:t>Widmung</w:t>
      </w:r>
    </w:p>
    <w:p w:rsidR="00937CD8" w:rsidRPr="002812E4" w:rsidRDefault="00F64B38" w:rsidP="00937CD8">
      <w:pPr>
        <w:numPr>
          <w:ilvl w:val="0"/>
          <w:numId w:val="13"/>
        </w:numPr>
        <w:rPr>
          <w:rFonts w:ascii="Verdana" w:hAnsi="Verdana"/>
          <w:sz w:val="20"/>
          <w:lang w:val="de-DE"/>
        </w:rPr>
      </w:pPr>
      <w:r w:rsidRPr="002812E4">
        <w:rPr>
          <w:rFonts w:ascii="Verdana" w:hAnsi="Verdana"/>
          <w:sz w:val="20"/>
          <w:lang w:val="de-DE"/>
        </w:rPr>
        <w:t>Lage</w:t>
      </w:r>
    </w:p>
    <w:p w:rsidR="00937CD8" w:rsidRPr="002812E4" w:rsidRDefault="00F64B38" w:rsidP="00937CD8">
      <w:pPr>
        <w:numPr>
          <w:ilvl w:val="0"/>
          <w:numId w:val="13"/>
        </w:numPr>
        <w:rPr>
          <w:rFonts w:ascii="Verdana" w:hAnsi="Verdana"/>
          <w:sz w:val="20"/>
          <w:lang w:val="de-DE"/>
        </w:rPr>
      </w:pPr>
      <w:r w:rsidRPr="002812E4">
        <w:rPr>
          <w:rFonts w:ascii="Verdana" w:hAnsi="Verdana"/>
          <w:sz w:val="20"/>
          <w:lang w:val="de-DE"/>
        </w:rPr>
        <w:t>Erschließung</w:t>
      </w:r>
    </w:p>
    <w:p w:rsidR="00937CD8" w:rsidRPr="002812E4" w:rsidRDefault="00AE3258" w:rsidP="00937CD8">
      <w:pPr>
        <w:numPr>
          <w:ilvl w:val="0"/>
          <w:numId w:val="13"/>
        </w:numPr>
        <w:rPr>
          <w:rFonts w:ascii="Verdana" w:hAnsi="Verdana"/>
          <w:sz w:val="20"/>
          <w:lang w:val="de-DE"/>
        </w:rPr>
      </w:pPr>
      <w:r w:rsidRPr="002812E4">
        <w:rPr>
          <w:rFonts w:ascii="Verdana" w:hAnsi="Verdana"/>
          <w:sz w:val="20"/>
          <w:lang w:val="de-DE"/>
        </w:rPr>
        <w:t>Servitute</w:t>
      </w:r>
    </w:p>
    <w:p w:rsidR="00F64B38" w:rsidRPr="002812E4" w:rsidRDefault="00F64B38" w:rsidP="00937CD8">
      <w:pPr>
        <w:numPr>
          <w:ilvl w:val="0"/>
          <w:numId w:val="13"/>
        </w:numPr>
        <w:rPr>
          <w:rFonts w:ascii="Verdana" w:hAnsi="Verdana"/>
          <w:sz w:val="20"/>
          <w:lang w:val="de-DE"/>
        </w:rPr>
      </w:pPr>
      <w:r w:rsidRPr="002812E4">
        <w:rPr>
          <w:rFonts w:ascii="Verdana" w:hAnsi="Verdana"/>
          <w:sz w:val="20"/>
          <w:lang w:val="de-DE"/>
        </w:rPr>
        <w:t>Restitutionsansprüche, Altlasten etc.</w:t>
      </w:r>
    </w:p>
    <w:p w:rsidR="00923CB6" w:rsidRPr="002812E4" w:rsidRDefault="00923CB6" w:rsidP="00A750FB">
      <w:pPr>
        <w:pStyle w:val="Sheading2"/>
        <w:tabs>
          <w:tab w:val="clear" w:pos="680"/>
          <w:tab w:val="num" w:pos="426"/>
        </w:tabs>
        <w:spacing w:before="240" w:after="60"/>
        <w:ind w:left="425" w:hanging="425"/>
        <w:rPr>
          <w:rFonts w:ascii="Verdana" w:hAnsi="Verdana"/>
          <w:b/>
          <w:sz w:val="20"/>
          <w:lang w:val="de-DE"/>
        </w:rPr>
      </w:pPr>
      <w:r w:rsidRPr="002812E4">
        <w:rPr>
          <w:rFonts w:ascii="Verdana" w:hAnsi="Verdana"/>
          <w:b/>
          <w:sz w:val="20"/>
          <w:lang w:val="de-DE"/>
        </w:rPr>
        <w:t>Flächenwidmung</w:t>
      </w:r>
      <w:r w:rsidR="005F63F9" w:rsidRPr="002812E4">
        <w:rPr>
          <w:rFonts w:ascii="Verdana" w:hAnsi="Verdana"/>
          <w:b/>
          <w:sz w:val="20"/>
          <w:lang w:val="de-DE"/>
        </w:rPr>
        <w:t>/Baubewilligung</w:t>
      </w:r>
      <w:r w:rsidRPr="002812E4">
        <w:rPr>
          <w:rFonts w:ascii="Verdana" w:hAnsi="Verdana"/>
          <w:b/>
          <w:sz w:val="20"/>
          <w:lang w:val="de-DE"/>
        </w:rPr>
        <w:t>:</w:t>
      </w:r>
    </w:p>
    <w:p w:rsidR="000A6BE5" w:rsidRDefault="000A6BE5" w:rsidP="00A750FB">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 xml:space="preserve">Die </w:t>
      </w:r>
      <w:r>
        <w:rPr>
          <w:rFonts w:ascii="Verdana" w:hAnsi="Verdana"/>
          <w:sz w:val="20"/>
          <w:lang w:val="de-DE"/>
        </w:rPr>
        <w:t>Flächenwidmung</w:t>
      </w:r>
      <w:r w:rsidRPr="002812E4">
        <w:rPr>
          <w:rFonts w:ascii="Verdana" w:hAnsi="Verdana"/>
          <w:sz w:val="20"/>
          <w:lang w:val="de-DE"/>
        </w:rPr>
        <w:t xml:space="preserve"> w</w:t>
      </w:r>
      <w:r>
        <w:rPr>
          <w:rFonts w:ascii="Verdana" w:hAnsi="Verdana"/>
          <w:sz w:val="20"/>
          <w:lang w:val="de-DE"/>
        </w:rPr>
        <w:t>i</w:t>
      </w:r>
      <w:r w:rsidRPr="002812E4">
        <w:rPr>
          <w:rFonts w:ascii="Verdana" w:hAnsi="Verdana"/>
          <w:sz w:val="20"/>
          <w:lang w:val="de-DE"/>
        </w:rPr>
        <w:t xml:space="preserve">rd in Österreich von den jeweiligen </w:t>
      </w:r>
      <w:r>
        <w:rPr>
          <w:rFonts w:ascii="Verdana" w:hAnsi="Verdana"/>
          <w:sz w:val="20"/>
          <w:lang w:val="de-DE"/>
        </w:rPr>
        <w:t>Gemeinden im Ra</w:t>
      </w:r>
      <w:r>
        <w:rPr>
          <w:rFonts w:ascii="Verdana" w:hAnsi="Verdana"/>
          <w:sz w:val="20"/>
          <w:lang w:val="de-DE"/>
        </w:rPr>
        <w:t>h</w:t>
      </w:r>
      <w:r>
        <w:rPr>
          <w:rFonts w:ascii="Verdana" w:hAnsi="Verdana"/>
          <w:sz w:val="20"/>
          <w:lang w:val="de-DE"/>
        </w:rPr>
        <w:t>men der Vorgaben der Bundesländer</w:t>
      </w:r>
      <w:r w:rsidRPr="002812E4">
        <w:rPr>
          <w:rFonts w:ascii="Verdana" w:hAnsi="Verdana"/>
          <w:sz w:val="20"/>
          <w:lang w:val="de-DE"/>
        </w:rPr>
        <w:t xml:space="preserve"> festgelegt.</w:t>
      </w:r>
    </w:p>
    <w:p w:rsidR="00923CB6" w:rsidRPr="002812E4" w:rsidRDefault="00923CB6" w:rsidP="00A750FB">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 xml:space="preserve">Überprüfung der Widmung, Überprüfung der Bauklasse und </w:t>
      </w:r>
      <w:r w:rsidR="000A6BE5" w:rsidRPr="002812E4">
        <w:rPr>
          <w:rFonts w:ascii="Verdana" w:hAnsi="Verdana"/>
          <w:sz w:val="20"/>
          <w:lang w:val="de-DE"/>
        </w:rPr>
        <w:t xml:space="preserve">Bebauungsdichte </w:t>
      </w:r>
      <w:r w:rsidRPr="002812E4">
        <w:rPr>
          <w:rFonts w:ascii="Verdana" w:hAnsi="Verdana"/>
          <w:sz w:val="20"/>
          <w:lang w:val="de-DE"/>
        </w:rPr>
        <w:t xml:space="preserve">etc; </w:t>
      </w:r>
      <w:r w:rsidR="000A6BE5">
        <w:rPr>
          <w:rFonts w:ascii="Verdana" w:hAnsi="Verdana"/>
          <w:sz w:val="20"/>
          <w:lang w:val="de-DE"/>
        </w:rPr>
        <w:t>in Wien sehr gut und einfach</w:t>
      </w:r>
      <w:r w:rsidRPr="002812E4">
        <w:rPr>
          <w:rFonts w:ascii="Verdana" w:hAnsi="Verdana"/>
          <w:sz w:val="20"/>
          <w:lang w:val="de-DE"/>
        </w:rPr>
        <w:t xml:space="preserve"> elektronisch einsehbar </w:t>
      </w:r>
      <w:r w:rsidR="000A6BE5">
        <w:rPr>
          <w:rFonts w:ascii="Verdana" w:hAnsi="Verdana"/>
          <w:sz w:val="20"/>
          <w:lang w:val="de-DE"/>
        </w:rPr>
        <w:t xml:space="preserve">und gut erläutert </w:t>
      </w:r>
      <w:r w:rsidRPr="002812E4">
        <w:rPr>
          <w:rFonts w:ascii="Verdana" w:hAnsi="Verdana"/>
          <w:sz w:val="20"/>
          <w:lang w:val="de-DE"/>
        </w:rPr>
        <w:t>(</w:t>
      </w:r>
      <w:r w:rsidR="000A6BE5" w:rsidRPr="000A6BE5">
        <w:rPr>
          <w:rFonts w:ascii="Verdana" w:hAnsi="Verdana"/>
          <w:sz w:val="20"/>
          <w:lang w:val="de-DE"/>
        </w:rPr>
        <w:t>http://www.wien.gv.at/flaechenwidmung/public/start.aspx</w:t>
      </w:r>
      <w:r w:rsidRPr="002812E4">
        <w:rPr>
          <w:rFonts w:ascii="Verdana" w:hAnsi="Verdana"/>
          <w:sz w:val="20"/>
          <w:lang w:val="de-DE"/>
        </w:rPr>
        <w:t xml:space="preserve">), teilweise nur bei der Gemeinde zu erfragen. </w:t>
      </w:r>
      <w:r w:rsidR="000857BC">
        <w:rPr>
          <w:rFonts w:ascii="Verdana" w:hAnsi="Verdana"/>
          <w:sz w:val="20"/>
          <w:lang w:val="de-DE"/>
        </w:rPr>
        <w:t>Bei den elektronisch einsehbaren Flächenwi</w:t>
      </w:r>
      <w:r w:rsidR="000857BC">
        <w:rPr>
          <w:rFonts w:ascii="Verdana" w:hAnsi="Verdana"/>
          <w:sz w:val="20"/>
          <w:lang w:val="de-DE"/>
        </w:rPr>
        <w:t>d</w:t>
      </w:r>
      <w:r w:rsidR="000857BC">
        <w:rPr>
          <w:rFonts w:ascii="Verdana" w:hAnsi="Verdana"/>
          <w:sz w:val="20"/>
          <w:lang w:val="de-DE"/>
        </w:rPr>
        <w:t>mungsplänen sind auch die Grundstücksgrenzen eingezeichnet, so dass man klar erkennen kann, ob das Zielgrundstück unmittelbar an das öffentliche Gut grenzt oder ob noch andere Grundstücke dazwischen liegen, so dass die Ei</w:t>
      </w:r>
      <w:r w:rsidR="000857BC">
        <w:rPr>
          <w:rFonts w:ascii="Verdana" w:hAnsi="Verdana"/>
          <w:sz w:val="20"/>
          <w:lang w:val="de-DE"/>
        </w:rPr>
        <w:t>n</w:t>
      </w:r>
      <w:r w:rsidR="000857BC">
        <w:rPr>
          <w:rFonts w:ascii="Verdana" w:hAnsi="Verdana"/>
          <w:sz w:val="20"/>
          <w:lang w:val="de-DE"/>
        </w:rPr>
        <w:t>räumung von Nutzungsrechten für den Zugang zum öffentlichen Gut erforde</w:t>
      </w:r>
      <w:r w:rsidR="000857BC">
        <w:rPr>
          <w:rFonts w:ascii="Verdana" w:hAnsi="Verdana"/>
          <w:sz w:val="20"/>
          <w:lang w:val="de-DE"/>
        </w:rPr>
        <w:t>r</w:t>
      </w:r>
      <w:r w:rsidR="000857BC">
        <w:rPr>
          <w:rFonts w:ascii="Verdana" w:hAnsi="Verdana"/>
          <w:sz w:val="20"/>
          <w:lang w:val="de-DE"/>
        </w:rPr>
        <w:t>lich ist</w:t>
      </w:r>
      <w:r w:rsidR="00360539">
        <w:rPr>
          <w:rFonts w:ascii="Verdana" w:hAnsi="Verdana"/>
          <w:sz w:val="20"/>
          <w:lang w:val="de-DE"/>
        </w:rPr>
        <w:t xml:space="preserve"> (die Lage der Grundstücke lässt sich auch über das elektronische Grundbuch in der digitalen Mappe einsehen)</w:t>
      </w:r>
      <w:r w:rsidR="000857BC">
        <w:rPr>
          <w:rFonts w:ascii="Verdana" w:hAnsi="Verdana"/>
          <w:sz w:val="20"/>
          <w:lang w:val="de-DE"/>
        </w:rPr>
        <w:t xml:space="preserve">. </w:t>
      </w:r>
      <w:r w:rsidRPr="002812E4">
        <w:rPr>
          <w:rFonts w:ascii="Verdana" w:hAnsi="Verdana"/>
          <w:sz w:val="20"/>
          <w:lang w:val="de-DE"/>
        </w:rPr>
        <w:t>Die Bauklasse beschreibt die m</w:t>
      </w:r>
      <w:r w:rsidRPr="002812E4">
        <w:rPr>
          <w:rFonts w:ascii="Verdana" w:hAnsi="Verdana"/>
          <w:sz w:val="20"/>
          <w:lang w:val="de-DE"/>
        </w:rPr>
        <w:t>a</w:t>
      </w:r>
      <w:r w:rsidRPr="002812E4">
        <w:rPr>
          <w:rFonts w:ascii="Verdana" w:hAnsi="Verdana"/>
          <w:sz w:val="20"/>
          <w:lang w:val="de-DE"/>
        </w:rPr>
        <w:t xml:space="preserve">ximal erlaubte Bauhöhe. </w:t>
      </w:r>
      <w:r w:rsidR="000A6BE5">
        <w:rPr>
          <w:rFonts w:ascii="Verdana" w:hAnsi="Verdana"/>
          <w:sz w:val="20"/>
          <w:lang w:val="de-DE"/>
        </w:rPr>
        <w:t xml:space="preserve">Die </w:t>
      </w:r>
      <w:r w:rsidR="000A6BE5" w:rsidRPr="002812E4">
        <w:rPr>
          <w:rFonts w:ascii="Verdana" w:hAnsi="Verdana"/>
          <w:sz w:val="20"/>
          <w:lang w:val="de-DE"/>
        </w:rPr>
        <w:t xml:space="preserve">Bebauungsdichte </w:t>
      </w:r>
      <w:r w:rsidR="000A6BE5">
        <w:rPr>
          <w:rFonts w:ascii="Verdana" w:hAnsi="Verdana"/>
          <w:sz w:val="20"/>
          <w:lang w:val="de-DE"/>
        </w:rPr>
        <w:t>sagt aus, wie</w:t>
      </w:r>
      <w:r w:rsidR="002858E1">
        <w:rPr>
          <w:rFonts w:ascii="Verdana" w:hAnsi="Verdana"/>
          <w:sz w:val="20"/>
          <w:lang w:val="de-DE"/>
        </w:rPr>
        <w:t xml:space="preserve"> </w:t>
      </w:r>
      <w:r w:rsidR="000A6BE5">
        <w:rPr>
          <w:rFonts w:ascii="Verdana" w:hAnsi="Verdana"/>
          <w:sz w:val="20"/>
          <w:lang w:val="de-DE"/>
        </w:rPr>
        <w:t xml:space="preserve">viel Prozent der Grundstücksfläche bebaut werden dürfen. </w:t>
      </w:r>
      <w:r w:rsidRPr="002812E4">
        <w:rPr>
          <w:rFonts w:ascii="Verdana" w:hAnsi="Verdana"/>
          <w:sz w:val="20"/>
          <w:lang w:val="de-DE"/>
        </w:rPr>
        <w:t>Der jeweilige Bebauungsplan ist Teil des örtlichen Flä</w:t>
      </w:r>
      <w:r w:rsidR="00C31B74">
        <w:rPr>
          <w:rFonts w:ascii="Verdana" w:hAnsi="Verdana"/>
          <w:sz w:val="20"/>
          <w:lang w:val="de-DE"/>
        </w:rPr>
        <w:t>chenwidmungsplans.</w:t>
      </w:r>
    </w:p>
    <w:p w:rsidR="00923CB6" w:rsidRPr="002812E4" w:rsidRDefault="00923CB6" w:rsidP="00A750FB">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lastRenderedPageBreak/>
        <w:t xml:space="preserve">Achtung: als Jurist sollte man es vermeiden, Bauhöhen durchzurechnen oder Detailangaben zur </w:t>
      </w:r>
      <w:bookmarkStart w:id="0" w:name="OLE_LINK1"/>
      <w:bookmarkStart w:id="1" w:name="OLE_LINK2"/>
      <w:r w:rsidRPr="002812E4">
        <w:rPr>
          <w:rFonts w:ascii="Verdana" w:hAnsi="Verdana"/>
          <w:sz w:val="20"/>
          <w:lang w:val="de-DE"/>
        </w:rPr>
        <w:t xml:space="preserve">Bebauungsdichte </w:t>
      </w:r>
      <w:bookmarkEnd w:id="0"/>
      <w:bookmarkEnd w:id="1"/>
      <w:r w:rsidRPr="002812E4">
        <w:rPr>
          <w:rFonts w:ascii="Verdana" w:hAnsi="Verdana"/>
          <w:sz w:val="20"/>
          <w:lang w:val="de-DE"/>
        </w:rPr>
        <w:t>zu geben. Hier ist das Spezialwissen eines Architekten gefragt.</w:t>
      </w:r>
    </w:p>
    <w:p w:rsidR="00923CB6" w:rsidRPr="002812E4" w:rsidRDefault="00923CB6" w:rsidP="00A750FB">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Beachte: der Ist-Stand hinsichtlich eines vorhandenen Gebäudes ist für den Developer unter Umständen überhaupt nicht interessant, wenn er sowieso plant, das Gebäude abzureißen. Der Developer will nur wissen, ob das von ihm geplante Gebäude bewilligungsfähig ist</w:t>
      </w:r>
      <w:r w:rsidR="005F63F9" w:rsidRPr="002812E4">
        <w:rPr>
          <w:rFonts w:ascii="Verdana" w:hAnsi="Verdana"/>
          <w:sz w:val="20"/>
          <w:lang w:val="de-DE"/>
        </w:rPr>
        <w:t xml:space="preserve"> – daher jedenfalls Flächenwidmung pr</w:t>
      </w:r>
      <w:r w:rsidR="005F63F9" w:rsidRPr="002812E4">
        <w:rPr>
          <w:rFonts w:ascii="Verdana" w:hAnsi="Verdana"/>
          <w:sz w:val="20"/>
          <w:lang w:val="de-DE"/>
        </w:rPr>
        <w:t>ü</w:t>
      </w:r>
      <w:r w:rsidR="005F63F9" w:rsidRPr="002812E4">
        <w:rPr>
          <w:rFonts w:ascii="Verdana" w:hAnsi="Verdana"/>
          <w:sz w:val="20"/>
          <w:lang w:val="de-DE"/>
        </w:rPr>
        <w:t>fen, aber unter Umständen nicht die Baubewilligungen</w:t>
      </w:r>
      <w:r w:rsidRPr="002812E4">
        <w:rPr>
          <w:rFonts w:ascii="Verdana" w:hAnsi="Verdana"/>
          <w:sz w:val="20"/>
          <w:lang w:val="de-DE"/>
        </w:rPr>
        <w:t>.</w:t>
      </w:r>
    </w:p>
    <w:p w:rsidR="00B21608" w:rsidRPr="00324500" w:rsidRDefault="00B21608" w:rsidP="00931C71">
      <w:pPr>
        <w:pStyle w:val="Sheading2"/>
        <w:tabs>
          <w:tab w:val="clear" w:pos="680"/>
          <w:tab w:val="num" w:pos="426"/>
        </w:tabs>
        <w:spacing w:before="240" w:after="60"/>
        <w:ind w:left="425" w:hanging="425"/>
        <w:rPr>
          <w:rFonts w:ascii="Verdana" w:hAnsi="Verdana"/>
          <w:b/>
          <w:sz w:val="20"/>
          <w:lang w:val="de-DE"/>
        </w:rPr>
      </w:pPr>
      <w:bookmarkStart w:id="2" w:name="_GoBack"/>
      <w:bookmarkEnd w:id="2"/>
      <w:r w:rsidRPr="00324500">
        <w:rPr>
          <w:rFonts w:ascii="Verdana" w:hAnsi="Verdana"/>
          <w:b/>
          <w:sz w:val="20"/>
          <w:lang w:val="de-DE"/>
        </w:rPr>
        <w:t>Erschließung der Liegenschaft:</w:t>
      </w:r>
    </w:p>
    <w:p w:rsidR="00B21608" w:rsidRPr="002812E4" w:rsidRDefault="00B21608"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Der Developer sollte darauf achten, sämtliche dingliche Rechte zur Erschließung seiner Liegenschaft bis zum öffentlichen Gut bzw bis zum Einspeisepunkt des Energieversorgers etc. eingeräumt zu bekommen. Nur dann ist das Bestehen dieser Rechte auch bei Weiterveräußerung der dienenden oder herrschenden Grundstücke unproblematisch. Die Einräumung von dinglichen Rechten im Zuge des Kaufs ist meist wesentlich billiger möglich, als wenn diese Rechte erst nachträglich zugekauft werden müssen.</w:t>
      </w:r>
    </w:p>
    <w:p w:rsidR="00B21608" w:rsidRPr="002812E4" w:rsidRDefault="00B21608"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Generell ist das Thema "</w:t>
      </w:r>
      <w:r w:rsidRPr="002812E4">
        <w:rPr>
          <w:rFonts w:ascii="Verdana" w:hAnsi="Verdana"/>
          <w:b/>
          <w:sz w:val="20"/>
          <w:lang w:val="de-DE"/>
        </w:rPr>
        <w:t>Servitute</w:t>
      </w:r>
      <w:r w:rsidRPr="002812E4">
        <w:rPr>
          <w:rFonts w:ascii="Verdana" w:hAnsi="Verdana"/>
          <w:sz w:val="20"/>
          <w:lang w:val="de-DE"/>
        </w:rPr>
        <w:t>" nicht zu unterschätzen: Gibt es verbüche</w:t>
      </w:r>
      <w:r w:rsidRPr="002812E4">
        <w:rPr>
          <w:rFonts w:ascii="Verdana" w:hAnsi="Verdana"/>
          <w:sz w:val="20"/>
          <w:lang w:val="de-DE"/>
        </w:rPr>
        <w:t>r</w:t>
      </w:r>
      <w:r w:rsidRPr="002812E4">
        <w:rPr>
          <w:rFonts w:ascii="Verdana" w:hAnsi="Verdana"/>
          <w:sz w:val="20"/>
          <w:lang w:val="de-DE"/>
        </w:rPr>
        <w:t>te Servitute, nicht verbücherte Servitute, ersessene Servitute (beachte: § 1500 ABGB gutgläubiger lastenfreier Erwerb der Liegenschaft; nur bei Asset-Deal; schon leichte Fahrlässigkeit verhindert den guten Glauben</w:t>
      </w:r>
      <w:r w:rsidR="00360539">
        <w:rPr>
          <w:rFonts w:ascii="Verdana" w:hAnsi="Verdana"/>
          <w:sz w:val="20"/>
          <w:lang w:val="de-DE"/>
        </w:rPr>
        <w:t xml:space="preserve"> – hier ist es zwi</w:t>
      </w:r>
      <w:r w:rsidR="00360539">
        <w:rPr>
          <w:rFonts w:ascii="Verdana" w:hAnsi="Verdana"/>
          <w:sz w:val="20"/>
          <w:lang w:val="de-DE"/>
        </w:rPr>
        <w:t>n</w:t>
      </w:r>
      <w:r w:rsidR="00360539">
        <w:rPr>
          <w:rFonts w:ascii="Verdana" w:hAnsi="Verdana"/>
          <w:sz w:val="20"/>
          <w:lang w:val="de-DE"/>
        </w:rPr>
        <w:t>gend erforderlich, dass die Liegenschaft besichtigt wird, damit Anzeichen auf eine nicht verbücherte Servitute wie zum Beispiel Fahrspuren, Kanaldeckel, Le</w:t>
      </w:r>
      <w:r w:rsidR="00360539">
        <w:rPr>
          <w:rFonts w:ascii="Verdana" w:hAnsi="Verdana"/>
          <w:sz w:val="20"/>
          <w:lang w:val="de-DE"/>
        </w:rPr>
        <w:t>i</w:t>
      </w:r>
      <w:r w:rsidR="00360539">
        <w:rPr>
          <w:rFonts w:ascii="Verdana" w:hAnsi="Verdana"/>
          <w:sz w:val="20"/>
          <w:lang w:val="de-DE"/>
        </w:rPr>
        <w:t>tungen erkannt werden können; mit einer Auskunft des Verkäufers alleine kann der gute Glaube nicht gewahrt werden</w:t>
      </w:r>
      <w:r w:rsidRPr="002812E4">
        <w:rPr>
          <w:rFonts w:ascii="Verdana" w:hAnsi="Verdana"/>
          <w:sz w:val="20"/>
          <w:lang w:val="de-DE"/>
        </w:rPr>
        <w:t>)? Wo liegen die Leitungen genau, kann ich die Servitutsverträge einsehen (Urkundensammlung am Grundbuch); gibt es in der Nähe Schienen, Stromkabel oder dergleichen, die die Bebaubarkeit negativ beeinflussen</w:t>
      </w:r>
      <w:r w:rsidR="00360539">
        <w:rPr>
          <w:rFonts w:ascii="Verdana" w:hAnsi="Verdana"/>
          <w:sz w:val="20"/>
          <w:lang w:val="de-DE"/>
        </w:rPr>
        <w:t xml:space="preserve"> (weil hier von Gesetzes wegen gewisse Abstandsflächen freigehalten werden müssen)</w:t>
      </w:r>
      <w:r w:rsidRPr="002812E4">
        <w:rPr>
          <w:rFonts w:ascii="Verdana" w:hAnsi="Verdana"/>
          <w:sz w:val="20"/>
          <w:lang w:val="de-DE"/>
        </w:rPr>
        <w:t>? Achtung: Straßen und Schienen können auch in Privateigentum stehen. Nur weil eine Straße zur Liegenschaft führt</w:t>
      </w:r>
      <w:r w:rsidR="002858E1">
        <w:rPr>
          <w:rFonts w:ascii="Verdana" w:hAnsi="Verdana"/>
          <w:sz w:val="20"/>
          <w:lang w:val="de-DE"/>
        </w:rPr>
        <w:t>,</w:t>
      </w:r>
      <w:r w:rsidRPr="002812E4">
        <w:rPr>
          <w:rFonts w:ascii="Verdana" w:hAnsi="Verdana"/>
          <w:sz w:val="20"/>
          <w:lang w:val="de-DE"/>
        </w:rPr>
        <w:t xml:space="preserve"> heißt das noch nicht zwangsläufig, dass man diese auch </w:t>
      </w:r>
      <w:r w:rsidR="00360539">
        <w:rPr>
          <w:rFonts w:ascii="Verdana" w:hAnsi="Verdana"/>
          <w:sz w:val="20"/>
          <w:lang w:val="de-DE"/>
        </w:rPr>
        <w:t>wie das öffentliche Gut im G</w:t>
      </w:r>
      <w:r w:rsidR="00360539">
        <w:rPr>
          <w:rFonts w:ascii="Verdana" w:hAnsi="Verdana"/>
          <w:sz w:val="20"/>
          <w:lang w:val="de-DE"/>
        </w:rPr>
        <w:t>e</w:t>
      </w:r>
      <w:r w:rsidR="00360539">
        <w:rPr>
          <w:rFonts w:ascii="Verdana" w:hAnsi="Verdana"/>
          <w:sz w:val="20"/>
          <w:lang w:val="de-DE"/>
        </w:rPr>
        <w:t xml:space="preserve">meingebrauch </w:t>
      </w:r>
      <w:r w:rsidRPr="002812E4">
        <w:rPr>
          <w:rFonts w:ascii="Verdana" w:hAnsi="Verdana"/>
          <w:sz w:val="20"/>
          <w:lang w:val="de-DE"/>
        </w:rPr>
        <w:t>benutzen darf.</w:t>
      </w:r>
    </w:p>
    <w:p w:rsidR="00923CB6" w:rsidRPr="002812E4" w:rsidRDefault="00B21608"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 xml:space="preserve">Der exakte Verlauf bzw die exakte Lage von Servituten kann unter Umständen schwierig festzustellen sein. </w:t>
      </w:r>
      <w:r w:rsidR="00C71678" w:rsidRPr="002812E4">
        <w:rPr>
          <w:rFonts w:ascii="Verdana" w:hAnsi="Verdana"/>
          <w:sz w:val="20"/>
          <w:lang w:val="de-DE"/>
        </w:rPr>
        <w:t>Dies gilt einerseits für unverbücherte Servitute, für die kein Plan vorliegt, andererseits aber durchaus auch für verbücherte, wenn durch Teilung und Zusammenlegung von Grundstücken die Grundstückskonf</w:t>
      </w:r>
      <w:r w:rsidR="00C71678" w:rsidRPr="002812E4">
        <w:rPr>
          <w:rFonts w:ascii="Verdana" w:hAnsi="Verdana"/>
          <w:sz w:val="20"/>
          <w:lang w:val="de-DE"/>
        </w:rPr>
        <w:t>i</w:t>
      </w:r>
      <w:r w:rsidR="00C71678" w:rsidRPr="002812E4">
        <w:rPr>
          <w:rFonts w:ascii="Verdana" w:hAnsi="Verdana"/>
          <w:sz w:val="20"/>
          <w:lang w:val="de-DE"/>
        </w:rPr>
        <w:t>guration um Lauf der Zeit verändert wurde. Welches Grundstück ist das di</w:t>
      </w:r>
      <w:r w:rsidR="00C71678" w:rsidRPr="002812E4">
        <w:rPr>
          <w:rFonts w:ascii="Verdana" w:hAnsi="Verdana"/>
          <w:sz w:val="20"/>
          <w:lang w:val="de-DE"/>
        </w:rPr>
        <w:t>e</w:t>
      </w:r>
      <w:r w:rsidR="00C71678" w:rsidRPr="002812E4">
        <w:rPr>
          <w:rFonts w:ascii="Verdana" w:hAnsi="Verdana"/>
          <w:sz w:val="20"/>
          <w:lang w:val="de-DE"/>
        </w:rPr>
        <w:t>nende, welches das herrschende? Oftmals muss im Zuge solcher Umkonfigur</w:t>
      </w:r>
      <w:r w:rsidR="00C71678" w:rsidRPr="002812E4">
        <w:rPr>
          <w:rFonts w:ascii="Verdana" w:hAnsi="Verdana"/>
          <w:sz w:val="20"/>
          <w:lang w:val="de-DE"/>
        </w:rPr>
        <w:t>a</w:t>
      </w:r>
      <w:r w:rsidR="00C71678" w:rsidRPr="002812E4">
        <w:rPr>
          <w:rFonts w:ascii="Verdana" w:hAnsi="Verdana"/>
          <w:sz w:val="20"/>
          <w:lang w:val="de-DE"/>
        </w:rPr>
        <w:t>tionen von Grundstücken die "neue" Lage der Dienstbarkeit und die exakte B</w:t>
      </w:r>
      <w:r w:rsidR="00C71678" w:rsidRPr="002812E4">
        <w:rPr>
          <w:rFonts w:ascii="Verdana" w:hAnsi="Verdana"/>
          <w:sz w:val="20"/>
          <w:lang w:val="de-DE"/>
        </w:rPr>
        <w:t>e</w:t>
      </w:r>
      <w:r w:rsidR="00C71678" w:rsidRPr="002812E4">
        <w:rPr>
          <w:rFonts w:ascii="Verdana" w:hAnsi="Verdana"/>
          <w:sz w:val="20"/>
          <w:lang w:val="de-DE"/>
        </w:rPr>
        <w:t>schreibung des dienenden und des herrschenden Grundstücks dem Grundbuc</w:t>
      </w:r>
      <w:r w:rsidR="00C71678" w:rsidRPr="002812E4">
        <w:rPr>
          <w:rFonts w:ascii="Verdana" w:hAnsi="Verdana"/>
          <w:sz w:val="20"/>
          <w:lang w:val="de-DE"/>
        </w:rPr>
        <w:t>h</w:t>
      </w:r>
      <w:r w:rsidR="00C71678" w:rsidRPr="002812E4">
        <w:rPr>
          <w:rFonts w:ascii="Verdana" w:hAnsi="Verdana"/>
          <w:sz w:val="20"/>
          <w:lang w:val="de-DE"/>
        </w:rPr>
        <w:t>gericht durch eine geeignete (grundbuchfähige) Urkunde erneut mitgeteilt we</w:t>
      </w:r>
      <w:r w:rsidR="00C71678" w:rsidRPr="002812E4">
        <w:rPr>
          <w:rFonts w:ascii="Verdana" w:hAnsi="Verdana"/>
          <w:sz w:val="20"/>
          <w:lang w:val="de-DE"/>
        </w:rPr>
        <w:t>r</w:t>
      </w:r>
      <w:r w:rsidR="00C71678" w:rsidRPr="002812E4">
        <w:rPr>
          <w:rFonts w:ascii="Verdana" w:hAnsi="Verdana"/>
          <w:sz w:val="20"/>
          <w:lang w:val="de-DE"/>
        </w:rPr>
        <w:t>den, um den Grundbuchstand an die geänderte Situation anpassen zu können.</w:t>
      </w:r>
    </w:p>
    <w:p w:rsidR="00923CB6" w:rsidRPr="002812E4" w:rsidRDefault="00923CB6"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lastRenderedPageBreak/>
        <w:t>Auch im Wohnbau muss die Erschließung der Liegenschaft geprüft werden: wo laufen die Kabel, Kanäle, etc, sind diese ausreichend dimensioniert?</w:t>
      </w:r>
    </w:p>
    <w:p w:rsidR="00B21608" w:rsidRPr="002812E4" w:rsidRDefault="00B21608" w:rsidP="00931C71">
      <w:pPr>
        <w:pStyle w:val="Sheading2"/>
        <w:tabs>
          <w:tab w:val="clear" w:pos="680"/>
          <w:tab w:val="num" w:pos="426"/>
        </w:tabs>
        <w:spacing w:before="240" w:after="60"/>
        <w:ind w:left="425" w:hanging="425"/>
        <w:rPr>
          <w:rFonts w:ascii="Verdana" w:hAnsi="Verdana"/>
          <w:b/>
          <w:sz w:val="20"/>
          <w:lang w:val="de-DE"/>
        </w:rPr>
      </w:pPr>
      <w:r w:rsidRPr="002812E4">
        <w:rPr>
          <w:rFonts w:ascii="Verdana" w:hAnsi="Verdana"/>
          <w:b/>
          <w:sz w:val="20"/>
          <w:lang w:val="de-DE"/>
        </w:rPr>
        <w:t>Verkehrsanbindung:</w:t>
      </w:r>
    </w:p>
    <w:p w:rsidR="00AE3258" w:rsidRPr="002812E4" w:rsidRDefault="00F64B38"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 xml:space="preserve">Je nach dem gewünschten Projekt ist es </w:t>
      </w:r>
      <w:r w:rsidR="00ED497A" w:rsidRPr="002812E4">
        <w:rPr>
          <w:rFonts w:ascii="Verdana" w:hAnsi="Verdana"/>
          <w:sz w:val="20"/>
          <w:lang w:val="de-DE"/>
        </w:rPr>
        <w:t>notwendig, Verkehrsprobleme zu b</w:t>
      </w:r>
      <w:r w:rsidR="00ED497A" w:rsidRPr="002812E4">
        <w:rPr>
          <w:rFonts w:ascii="Verdana" w:hAnsi="Verdana"/>
          <w:sz w:val="20"/>
          <w:lang w:val="de-DE"/>
        </w:rPr>
        <w:t>e</w:t>
      </w:r>
      <w:r w:rsidR="00ED497A" w:rsidRPr="002812E4">
        <w:rPr>
          <w:rFonts w:ascii="Verdana" w:hAnsi="Verdana"/>
          <w:sz w:val="20"/>
          <w:lang w:val="de-DE"/>
        </w:rPr>
        <w:t>rücksichtigen: wie sieht das unmittelbar angrenzende Straßennetz aus, gibt es eine Ampel/Kreuzung zur Zufahrt zu dem geplanten Objekt, gibt es Wend</w:t>
      </w:r>
      <w:r w:rsidR="00ED497A" w:rsidRPr="002812E4">
        <w:rPr>
          <w:rFonts w:ascii="Verdana" w:hAnsi="Verdana"/>
          <w:sz w:val="20"/>
          <w:lang w:val="de-DE"/>
        </w:rPr>
        <w:t>e</w:t>
      </w:r>
      <w:r w:rsidR="00ED497A" w:rsidRPr="002812E4">
        <w:rPr>
          <w:rFonts w:ascii="Verdana" w:hAnsi="Verdana"/>
          <w:sz w:val="20"/>
          <w:lang w:val="de-DE"/>
        </w:rPr>
        <w:t>möglichkeiten, wie sieht es mit Schwerverkehr aus, ist ein Anstieg des Indiv</w:t>
      </w:r>
      <w:r w:rsidR="00ED497A" w:rsidRPr="002812E4">
        <w:rPr>
          <w:rFonts w:ascii="Verdana" w:hAnsi="Verdana"/>
          <w:sz w:val="20"/>
          <w:lang w:val="de-DE"/>
        </w:rPr>
        <w:t>i</w:t>
      </w:r>
      <w:r w:rsidR="00ED497A" w:rsidRPr="002812E4">
        <w:rPr>
          <w:rFonts w:ascii="Verdana" w:hAnsi="Verdana"/>
          <w:sz w:val="20"/>
          <w:lang w:val="de-DE"/>
        </w:rPr>
        <w:t>dualverkehrs zu erwarten</w:t>
      </w:r>
      <w:r w:rsidR="00031908" w:rsidRPr="002812E4">
        <w:rPr>
          <w:rFonts w:ascii="Verdana" w:hAnsi="Verdana"/>
          <w:sz w:val="20"/>
          <w:lang w:val="de-DE"/>
        </w:rPr>
        <w:t>?</w:t>
      </w:r>
      <w:r w:rsidR="00ED497A" w:rsidRPr="002812E4">
        <w:rPr>
          <w:rFonts w:ascii="Verdana" w:hAnsi="Verdana"/>
          <w:sz w:val="20"/>
          <w:lang w:val="de-DE"/>
        </w:rPr>
        <w:t xml:space="preserve"> </w:t>
      </w:r>
      <w:r w:rsidR="00031908" w:rsidRPr="002812E4">
        <w:rPr>
          <w:rFonts w:ascii="Verdana" w:hAnsi="Verdana"/>
          <w:sz w:val="20"/>
          <w:lang w:val="de-DE"/>
        </w:rPr>
        <w:t>U</w:t>
      </w:r>
      <w:r w:rsidR="00ED497A" w:rsidRPr="002812E4">
        <w:rPr>
          <w:rFonts w:ascii="Verdana" w:hAnsi="Verdana"/>
          <w:sz w:val="20"/>
          <w:lang w:val="de-DE"/>
        </w:rPr>
        <w:t>nter Umständen wird es notwendig sein, ein Ve</w:t>
      </w:r>
      <w:r w:rsidR="00ED497A" w:rsidRPr="002812E4">
        <w:rPr>
          <w:rFonts w:ascii="Verdana" w:hAnsi="Verdana"/>
          <w:sz w:val="20"/>
          <w:lang w:val="de-DE"/>
        </w:rPr>
        <w:t>r</w:t>
      </w:r>
      <w:r w:rsidR="00ED497A" w:rsidRPr="002812E4">
        <w:rPr>
          <w:rFonts w:ascii="Verdana" w:hAnsi="Verdana"/>
          <w:sz w:val="20"/>
          <w:lang w:val="de-DE"/>
        </w:rPr>
        <w:t>kehrsgutachten einzuholen.</w:t>
      </w:r>
      <w:r w:rsidR="00937CD8" w:rsidRPr="002812E4">
        <w:rPr>
          <w:rFonts w:ascii="Verdana" w:hAnsi="Verdana"/>
          <w:sz w:val="20"/>
          <w:lang w:val="de-DE"/>
        </w:rPr>
        <w:t xml:space="preserve"> </w:t>
      </w:r>
    </w:p>
    <w:p w:rsidR="00923CB6" w:rsidRPr="002812E4" w:rsidRDefault="00923CB6" w:rsidP="00931C71">
      <w:pPr>
        <w:pStyle w:val="Sheading2"/>
        <w:tabs>
          <w:tab w:val="clear" w:pos="680"/>
          <w:tab w:val="num" w:pos="426"/>
        </w:tabs>
        <w:spacing w:before="240" w:after="60"/>
        <w:ind w:left="425" w:hanging="425"/>
        <w:rPr>
          <w:rFonts w:ascii="Verdana" w:hAnsi="Verdana"/>
          <w:b/>
          <w:sz w:val="20"/>
          <w:lang w:val="de-DE"/>
        </w:rPr>
      </w:pPr>
      <w:r w:rsidRPr="002812E4">
        <w:rPr>
          <w:rFonts w:ascii="Verdana" w:hAnsi="Verdana"/>
          <w:b/>
          <w:sz w:val="20"/>
          <w:lang w:val="de-DE"/>
        </w:rPr>
        <w:t>Grundbuchauszug:</w:t>
      </w:r>
    </w:p>
    <w:p w:rsidR="00923CB6" w:rsidRPr="002812E4" w:rsidRDefault="00923CB6"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Letzte TZ (Tagebuchzahl) beachten</w:t>
      </w:r>
      <w:r w:rsidR="005B363D" w:rsidRPr="002812E4">
        <w:rPr>
          <w:rFonts w:ascii="Verdana" w:hAnsi="Verdana"/>
          <w:sz w:val="20"/>
          <w:lang w:val="de-DE"/>
        </w:rPr>
        <w:t>,</w:t>
      </w:r>
      <w:r w:rsidRPr="002812E4">
        <w:rPr>
          <w:rFonts w:ascii="Verdana" w:hAnsi="Verdana"/>
          <w:sz w:val="20"/>
          <w:lang w:val="de-DE"/>
        </w:rPr>
        <w:t xml:space="preserve"> um auf einen Blick zu erkennen, wann sich das letzte Mal im Grundbuchstand etwas geändert hat.</w:t>
      </w:r>
    </w:p>
    <w:p w:rsidR="00923CB6" w:rsidRPr="002812E4" w:rsidRDefault="00923CB6"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Die Angabe der Widmung und der Fläche im Grundbuch sind teilweise nicht aktuell. Beide Einträge werden vom Vermessungsamt gewartet und sind oft veraltet.</w:t>
      </w:r>
    </w:p>
    <w:p w:rsidR="00923CB6" w:rsidRPr="002812E4" w:rsidRDefault="00923CB6"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Im A2 Blatt sind nicht nur Rechte (herrschende Liegenschaft) ersichtlich, so</w:t>
      </w:r>
      <w:r w:rsidRPr="002812E4">
        <w:rPr>
          <w:rFonts w:ascii="Verdana" w:hAnsi="Verdana"/>
          <w:sz w:val="20"/>
          <w:lang w:val="de-DE"/>
        </w:rPr>
        <w:t>n</w:t>
      </w:r>
      <w:r w:rsidRPr="002812E4">
        <w:rPr>
          <w:rFonts w:ascii="Verdana" w:hAnsi="Verdana"/>
          <w:sz w:val="20"/>
          <w:lang w:val="de-DE"/>
        </w:rPr>
        <w:t>dern auch öffentlich rechtliche Pflichten. Achtung: zu den Rechten müssen i</w:t>
      </w:r>
      <w:r w:rsidRPr="002812E4">
        <w:rPr>
          <w:rFonts w:ascii="Verdana" w:hAnsi="Verdana"/>
          <w:sz w:val="20"/>
          <w:lang w:val="de-DE"/>
        </w:rPr>
        <w:t>m</w:t>
      </w:r>
      <w:r w:rsidRPr="002812E4">
        <w:rPr>
          <w:rFonts w:ascii="Verdana" w:hAnsi="Verdana"/>
          <w:sz w:val="20"/>
          <w:lang w:val="de-DE"/>
        </w:rPr>
        <w:t>mer auch die korrespondierenden Einträge im C-Blatt der dienenden Liege</w:t>
      </w:r>
      <w:r w:rsidRPr="002812E4">
        <w:rPr>
          <w:rFonts w:ascii="Verdana" w:hAnsi="Verdana"/>
          <w:sz w:val="20"/>
          <w:lang w:val="de-DE"/>
        </w:rPr>
        <w:t>n</w:t>
      </w:r>
      <w:r w:rsidRPr="002812E4">
        <w:rPr>
          <w:rFonts w:ascii="Verdana" w:hAnsi="Verdana"/>
          <w:sz w:val="20"/>
          <w:lang w:val="de-DE"/>
        </w:rPr>
        <w:t>schaft(en) geprüft werden.</w:t>
      </w:r>
    </w:p>
    <w:p w:rsidR="00923CB6" w:rsidRPr="002812E4" w:rsidRDefault="00923CB6"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Bei erst kürzlich einverleibten Eigentümern sollten zur Vorsicht noch die Rechtskraft der Eigentumseinverleibung geprüft werden (Rekursfrist: 1 Monat); es gibt auch die Möglichkeit, online einen historischen Grundbuchsauszug abz</w:t>
      </w:r>
      <w:r w:rsidRPr="002812E4">
        <w:rPr>
          <w:rFonts w:ascii="Verdana" w:hAnsi="Verdana"/>
          <w:sz w:val="20"/>
          <w:lang w:val="de-DE"/>
        </w:rPr>
        <w:t>u</w:t>
      </w:r>
      <w:r w:rsidRPr="002812E4">
        <w:rPr>
          <w:rFonts w:ascii="Verdana" w:hAnsi="Verdana"/>
          <w:sz w:val="20"/>
          <w:lang w:val="de-DE"/>
        </w:rPr>
        <w:t>fragen, um die Voreigentümer festzustellen.</w:t>
      </w:r>
    </w:p>
    <w:p w:rsidR="00923CB6" w:rsidRPr="002812E4" w:rsidRDefault="00923CB6"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Detailinformationen zu den im C-Blatt eingetragenen Belastungen müssen aus den jeweiligen, in der Urkundensammlung hinterlegten Urkunden entnommen werden. Sie ergeben sich nicht bzw nur eingeschränkt aus dem Grundbuchau</w:t>
      </w:r>
      <w:r w:rsidRPr="002812E4">
        <w:rPr>
          <w:rFonts w:ascii="Verdana" w:hAnsi="Verdana"/>
          <w:sz w:val="20"/>
          <w:lang w:val="de-DE"/>
        </w:rPr>
        <w:t>s</w:t>
      </w:r>
      <w:r w:rsidRPr="002812E4">
        <w:rPr>
          <w:rFonts w:ascii="Verdana" w:hAnsi="Verdana"/>
          <w:sz w:val="20"/>
          <w:lang w:val="de-DE"/>
        </w:rPr>
        <w:t>zug selbst.</w:t>
      </w:r>
    </w:p>
    <w:p w:rsidR="00923CB6" w:rsidRPr="002812E4" w:rsidRDefault="00923CB6" w:rsidP="00931C71">
      <w:pPr>
        <w:pStyle w:val="ListParagraph"/>
        <w:numPr>
          <w:ilvl w:val="0"/>
          <w:numId w:val="25"/>
        </w:numPr>
        <w:spacing w:before="240" w:after="60"/>
        <w:ind w:left="426" w:hanging="426"/>
        <w:rPr>
          <w:rFonts w:ascii="Verdana" w:hAnsi="Verdana"/>
          <w:sz w:val="20"/>
          <w:lang w:val="de-DE"/>
        </w:rPr>
      </w:pPr>
      <w:r w:rsidRPr="002812E4">
        <w:rPr>
          <w:rFonts w:ascii="Verdana" w:hAnsi="Verdana"/>
          <w:sz w:val="20"/>
          <w:lang w:val="de-DE"/>
        </w:rPr>
        <w:t>Durch Erbschaft, Spaltung, Verschmelzung oder Umwandlung kann rechtskrä</w:t>
      </w:r>
      <w:r w:rsidRPr="002812E4">
        <w:rPr>
          <w:rFonts w:ascii="Verdana" w:hAnsi="Verdana"/>
          <w:sz w:val="20"/>
          <w:lang w:val="de-DE"/>
        </w:rPr>
        <w:t>f</w:t>
      </w:r>
      <w:r w:rsidRPr="002812E4">
        <w:rPr>
          <w:rFonts w:ascii="Verdana" w:hAnsi="Verdana"/>
          <w:sz w:val="20"/>
          <w:lang w:val="de-DE"/>
        </w:rPr>
        <w:t>tig Eigentum übergegangen sein, ohne dass dies aus dem Grundbuchauszug ersichtlich wäre.</w:t>
      </w:r>
    </w:p>
    <w:sectPr w:rsidR="00923CB6" w:rsidRPr="002812E4" w:rsidSect="00A710E3">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985" w:left="1985"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7E" w:rsidRDefault="00361F7E">
      <w:r>
        <w:separator/>
      </w:r>
    </w:p>
  </w:endnote>
  <w:endnote w:type="continuationSeparator" w:id="0">
    <w:p w:rsidR="00361F7E" w:rsidRDefault="0036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62" w:rsidRDefault="00833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62" w:rsidRDefault="00833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62" w:rsidRDefault="00833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7E" w:rsidRDefault="00361F7E">
      <w:r>
        <w:separator/>
      </w:r>
    </w:p>
  </w:footnote>
  <w:footnote w:type="continuationSeparator" w:id="0">
    <w:p w:rsidR="00361F7E" w:rsidRDefault="00361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7E" w:rsidRDefault="00910A56">
    <w:pPr>
      <w:framePr w:wrap="around" w:vAnchor="text" w:hAnchor="margin" w:xAlign="center" w:y="1"/>
    </w:pPr>
    <w:r>
      <w:fldChar w:fldCharType="begin"/>
    </w:r>
    <w:r>
      <w:instrText xml:space="preserve">PAGE  </w:instrText>
    </w:r>
    <w:r>
      <w:fldChar w:fldCharType="separate"/>
    </w:r>
    <w:r w:rsidR="00361F7E">
      <w:rPr>
        <w:noProof/>
      </w:rPr>
      <w:t>1</w:t>
    </w:r>
    <w:r>
      <w:rPr>
        <w:noProof/>
      </w:rPr>
      <w:fldChar w:fldCharType="end"/>
    </w:r>
  </w:p>
  <w:p w:rsidR="00361F7E" w:rsidRDefault="00361F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F7E" w:rsidRPr="002858E1" w:rsidRDefault="00361F7E">
    <w:pPr>
      <w:jc w:val="center"/>
      <w:rPr>
        <w:rFonts w:ascii="Verdana" w:hAnsi="Verdana"/>
        <w:sz w:val="20"/>
      </w:rPr>
    </w:pPr>
    <w:r w:rsidRPr="002858E1">
      <w:rPr>
        <w:rFonts w:ascii="Verdana" w:hAnsi="Verdana"/>
        <w:snapToGrid w:val="0"/>
        <w:sz w:val="20"/>
      </w:rPr>
      <w:t xml:space="preserve">- </w:t>
    </w:r>
    <w:r w:rsidR="006651DA" w:rsidRPr="002858E1">
      <w:rPr>
        <w:rFonts w:ascii="Verdana" w:hAnsi="Verdana"/>
        <w:snapToGrid w:val="0"/>
        <w:sz w:val="20"/>
      </w:rPr>
      <w:fldChar w:fldCharType="begin"/>
    </w:r>
    <w:r w:rsidRPr="002858E1">
      <w:rPr>
        <w:rFonts w:ascii="Verdana" w:hAnsi="Verdana"/>
        <w:snapToGrid w:val="0"/>
        <w:sz w:val="20"/>
      </w:rPr>
      <w:instrText xml:space="preserve"> PAGE </w:instrText>
    </w:r>
    <w:r w:rsidR="006651DA" w:rsidRPr="002858E1">
      <w:rPr>
        <w:rFonts w:ascii="Verdana" w:hAnsi="Verdana"/>
        <w:snapToGrid w:val="0"/>
        <w:sz w:val="20"/>
      </w:rPr>
      <w:fldChar w:fldCharType="separate"/>
    </w:r>
    <w:r w:rsidR="009B26D6">
      <w:rPr>
        <w:rFonts w:ascii="Verdana" w:hAnsi="Verdana"/>
        <w:noProof/>
        <w:snapToGrid w:val="0"/>
        <w:sz w:val="20"/>
      </w:rPr>
      <w:t>5</w:t>
    </w:r>
    <w:r w:rsidR="006651DA" w:rsidRPr="002858E1">
      <w:rPr>
        <w:rFonts w:ascii="Verdana" w:hAnsi="Verdana"/>
        <w:snapToGrid w:val="0"/>
        <w:sz w:val="20"/>
      </w:rPr>
      <w:fldChar w:fldCharType="end"/>
    </w:r>
    <w:r w:rsidRPr="002858E1">
      <w:rPr>
        <w:rFonts w:ascii="Verdana" w:hAnsi="Verdana"/>
        <w:snapToGrid w:val="0"/>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62" w:rsidRDefault="00833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43A"/>
    <w:multiLevelType w:val="hybridMultilevel"/>
    <w:tmpl w:val="FF9A3E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59A0965"/>
    <w:multiLevelType w:val="hybridMultilevel"/>
    <w:tmpl w:val="436CE0C0"/>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CA2C80"/>
    <w:multiLevelType w:val="hybridMultilevel"/>
    <w:tmpl w:val="A99A16B4"/>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4">
    <w:nsid w:val="131D02A8"/>
    <w:multiLevelType w:val="hybridMultilevel"/>
    <w:tmpl w:val="2B9430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CA64A89"/>
    <w:multiLevelType w:val="hybridMultilevel"/>
    <w:tmpl w:val="466647DA"/>
    <w:lvl w:ilvl="0" w:tplc="04070001">
      <w:start w:val="1"/>
      <w:numFmt w:val="bullet"/>
      <w:lvlText w:val=""/>
      <w:lvlJc w:val="left"/>
      <w:pPr>
        <w:tabs>
          <w:tab w:val="num" w:pos="1429"/>
        </w:tabs>
        <w:ind w:left="1429"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6">
    <w:nsid w:val="24342147"/>
    <w:multiLevelType w:val="multilevel"/>
    <w:tmpl w:val="AC4EB4CE"/>
    <w:lvl w:ilvl="0">
      <w:start w:val="1"/>
      <w:numFmt w:val="decimal"/>
      <w:pStyle w:val="Text1Num"/>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2498"/>
        </w:tabs>
        <w:ind w:left="964" w:firstLine="454"/>
      </w:pPr>
      <w:rPr>
        <w:rFonts w:ascii="Arial" w:hAnsi="Arial" w:hint="default"/>
        <w:b w:val="0"/>
        <w:i/>
        <w:sz w:val="22"/>
      </w:rPr>
    </w:lvl>
    <w:lvl w:ilvl="4">
      <w:start w:val="1"/>
      <w:numFmt w:val="decimal"/>
      <w:lvlText w:val="%1.%2.%3.%4.%5."/>
      <w:lvlJc w:val="left"/>
      <w:pPr>
        <w:tabs>
          <w:tab w:val="num" w:pos="907"/>
        </w:tabs>
        <w:ind w:left="907" w:hanging="907"/>
      </w:pPr>
      <w:rPr>
        <w:rFonts w:hint="default"/>
      </w:rPr>
    </w:lvl>
    <w:lvl w:ilvl="5">
      <w:start w:val="1"/>
      <w:numFmt w:val="decimal"/>
      <w:lvlText w:val="%1.%2.%3.%4.%5.%6."/>
      <w:lvlJc w:val="left"/>
      <w:pPr>
        <w:tabs>
          <w:tab w:val="num" w:pos="1080"/>
        </w:tabs>
        <w:ind w:left="907" w:hanging="907"/>
      </w:pPr>
      <w:rPr>
        <w:rFonts w:hint="default"/>
      </w:rPr>
    </w:lvl>
    <w:lvl w:ilvl="6">
      <w:start w:val="1"/>
      <w:numFmt w:val="decimal"/>
      <w:lvlText w:val="%1.%2.%3.%4.%5.%6.%7."/>
      <w:lvlJc w:val="left"/>
      <w:pPr>
        <w:tabs>
          <w:tab w:val="num" w:pos="1440"/>
        </w:tabs>
        <w:ind w:left="1134" w:hanging="1134"/>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1800"/>
        </w:tabs>
        <w:ind w:left="1134" w:hanging="1134"/>
      </w:pPr>
      <w:rPr>
        <w:rFonts w:hint="default"/>
      </w:rPr>
    </w:lvl>
  </w:abstractNum>
  <w:abstractNum w:abstractNumId="7">
    <w:nsid w:val="280D2431"/>
    <w:multiLevelType w:val="hybridMultilevel"/>
    <w:tmpl w:val="04DE26A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A640B30"/>
    <w:multiLevelType w:val="hybridMultilevel"/>
    <w:tmpl w:val="EA34855A"/>
    <w:lvl w:ilvl="0" w:tplc="0F5C9102">
      <w:start w:val="1"/>
      <w:numFmt w:val="bullet"/>
      <w:lvlText w:val=""/>
      <w:lvlJc w:val="left"/>
      <w:pPr>
        <w:tabs>
          <w:tab w:val="num" w:pos="567"/>
        </w:tabs>
        <w:ind w:left="284" w:firstLine="785"/>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BAA665D"/>
    <w:multiLevelType w:val="hybridMultilevel"/>
    <w:tmpl w:val="A38A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3753B"/>
    <w:multiLevelType w:val="hybridMultilevel"/>
    <w:tmpl w:val="63A41F0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12">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13">
    <w:nsid w:val="6B30620E"/>
    <w:multiLevelType w:val="multilevel"/>
    <w:tmpl w:val="1FC05004"/>
    <w:lvl w:ilvl="0">
      <w:start w:val="1"/>
      <w:numFmt w:val="decimal"/>
      <w:pStyle w:val="Sheading1"/>
      <w:lvlText w:val="%1."/>
      <w:lvlJc w:val="left"/>
      <w:pPr>
        <w:tabs>
          <w:tab w:val="num" w:pos="680"/>
        </w:tabs>
        <w:ind w:left="680" w:hanging="680"/>
      </w:pPr>
      <w:rPr>
        <w:rFonts w:hint="default"/>
        <w:b/>
      </w:rPr>
    </w:lvl>
    <w:lvl w:ilvl="1">
      <w:start w:val="1"/>
      <w:numFmt w:val="decimal"/>
      <w:pStyle w:val="Sheading2"/>
      <w:isLgl/>
      <w:lvlText w:val="%1.%2"/>
      <w:lvlJc w:val="left"/>
      <w:pPr>
        <w:tabs>
          <w:tab w:val="num" w:pos="680"/>
        </w:tabs>
        <w:ind w:left="680" w:hanging="680"/>
      </w:pPr>
      <w:rPr>
        <w:rFonts w:hint="default"/>
      </w:rPr>
    </w:lvl>
    <w:lvl w:ilvl="2">
      <w:start w:val="1"/>
      <w:numFmt w:val="decimal"/>
      <w:pStyle w:val="Sheading3"/>
      <w:isLgl/>
      <w:lvlText w:val="%1.%2.%3"/>
      <w:lvlJc w:val="left"/>
      <w:pPr>
        <w:tabs>
          <w:tab w:val="num" w:pos="1361"/>
        </w:tabs>
        <w:ind w:left="1361" w:hanging="681"/>
      </w:pPr>
      <w:rPr>
        <w:rFonts w:hint="default"/>
      </w:rPr>
    </w:lvl>
    <w:lvl w:ilvl="3">
      <w:start w:val="1"/>
      <w:numFmt w:val="decimal"/>
      <w:pStyle w:val="Sheading4"/>
      <w:isLgl/>
      <w:lvlText w:val="%1.%2.%3.%4"/>
      <w:lvlJc w:val="left"/>
      <w:pPr>
        <w:tabs>
          <w:tab w:val="num" w:pos="2495"/>
        </w:tabs>
        <w:ind w:left="2495" w:hanging="1134"/>
      </w:pPr>
      <w:rPr>
        <w:rFonts w:hint="default"/>
      </w:rPr>
    </w:lvl>
    <w:lvl w:ilvl="4">
      <w:start w:val="1"/>
      <w:numFmt w:val="decimal"/>
      <w:pStyle w:val="Sheading5"/>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6C193B7D"/>
    <w:multiLevelType w:val="hybridMultilevel"/>
    <w:tmpl w:val="D7BA9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2"/>
  </w:num>
  <w:num w:numId="4">
    <w:abstractNumId w:val="12"/>
  </w:num>
  <w:num w:numId="5">
    <w:abstractNumId w:val="12"/>
  </w:num>
  <w:num w:numId="6">
    <w:abstractNumId w:val="3"/>
  </w:num>
  <w:num w:numId="7">
    <w:abstractNumId w:val="3"/>
  </w:num>
  <w:num w:numId="8">
    <w:abstractNumId w:val="1"/>
  </w:num>
  <w:num w:numId="9">
    <w:abstractNumId w:val="2"/>
  </w:num>
  <w:num w:numId="10">
    <w:abstractNumId w:val="8"/>
  </w:num>
  <w:num w:numId="11">
    <w:abstractNumId w:val="10"/>
  </w:num>
  <w:num w:numId="12">
    <w:abstractNumId w:val="7"/>
  </w:num>
  <w:num w:numId="13">
    <w:abstractNumId w:val="5"/>
  </w:num>
  <w:num w:numId="14">
    <w:abstractNumId w:val="0"/>
  </w:num>
  <w:num w:numId="15">
    <w:abstractNumId w:val="4"/>
  </w:num>
  <w:num w:numId="16">
    <w:abstractNumId w:val="14"/>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9"/>
  </w:num>
  <w:num w:numId="26">
    <w:abstractNumId w:val="13"/>
  </w:num>
  <w:num w:numId="27">
    <w:abstractNumId w:val="13"/>
  </w:num>
  <w:num w:numId="28">
    <w:abstractNumId w:val="13"/>
  </w:num>
  <w:num w:numId="29">
    <w:abstractNumId w:val="13"/>
  </w:num>
  <w:num w:numId="30">
    <w:abstractNumId w:val="13"/>
  </w:num>
  <w:num w:numId="3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de-DE" w:vendorID="64" w:dllVersion="131078" w:nlCheck="1" w:checkStyle="1"/>
  <w:activeWritingStyle w:appName="MSWord" w:lang="de-AT"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docVars>
    <w:docVar w:name="dgnword-docGUID" w:val="{7FA1B742-168B-44CC-841A-8B21D425BCC1}"/>
    <w:docVar w:name="dgnword-eventsink" w:val="290792640"/>
  </w:docVars>
  <w:rsids>
    <w:rsidRoot w:val="00891EFB"/>
    <w:rsid w:val="00006948"/>
    <w:rsid w:val="00024D42"/>
    <w:rsid w:val="00031908"/>
    <w:rsid w:val="00040A59"/>
    <w:rsid w:val="0006380A"/>
    <w:rsid w:val="000857BC"/>
    <w:rsid w:val="000A6BE5"/>
    <w:rsid w:val="000E30E2"/>
    <w:rsid w:val="000E4C26"/>
    <w:rsid w:val="000F3FAF"/>
    <w:rsid w:val="00105E89"/>
    <w:rsid w:val="00116249"/>
    <w:rsid w:val="00170EF7"/>
    <w:rsid w:val="001773E9"/>
    <w:rsid w:val="00183FB6"/>
    <w:rsid w:val="00184BA1"/>
    <w:rsid w:val="001B5875"/>
    <w:rsid w:val="001C26CB"/>
    <w:rsid w:val="00211CDB"/>
    <w:rsid w:val="00236E6A"/>
    <w:rsid w:val="00243080"/>
    <w:rsid w:val="0026774F"/>
    <w:rsid w:val="002812E4"/>
    <w:rsid w:val="002858E1"/>
    <w:rsid w:val="0029052B"/>
    <w:rsid w:val="002C3D5F"/>
    <w:rsid w:val="002E0554"/>
    <w:rsid w:val="002E4582"/>
    <w:rsid w:val="00310281"/>
    <w:rsid w:val="0032373E"/>
    <w:rsid w:val="00324500"/>
    <w:rsid w:val="003245DC"/>
    <w:rsid w:val="00360539"/>
    <w:rsid w:val="00361F7E"/>
    <w:rsid w:val="003A1309"/>
    <w:rsid w:val="003A193C"/>
    <w:rsid w:val="003E5098"/>
    <w:rsid w:val="003F4D03"/>
    <w:rsid w:val="00404DBF"/>
    <w:rsid w:val="004161A1"/>
    <w:rsid w:val="00437B3E"/>
    <w:rsid w:val="004436EC"/>
    <w:rsid w:val="004748A4"/>
    <w:rsid w:val="004A7C89"/>
    <w:rsid w:val="004C495A"/>
    <w:rsid w:val="004E3900"/>
    <w:rsid w:val="004F7DF4"/>
    <w:rsid w:val="0050247A"/>
    <w:rsid w:val="00507C57"/>
    <w:rsid w:val="00530189"/>
    <w:rsid w:val="005328F7"/>
    <w:rsid w:val="005417B7"/>
    <w:rsid w:val="0054497D"/>
    <w:rsid w:val="005551C8"/>
    <w:rsid w:val="005A1709"/>
    <w:rsid w:val="005B363D"/>
    <w:rsid w:val="005C22BF"/>
    <w:rsid w:val="005F4FAC"/>
    <w:rsid w:val="005F63F9"/>
    <w:rsid w:val="00602D4C"/>
    <w:rsid w:val="00660961"/>
    <w:rsid w:val="006651DA"/>
    <w:rsid w:val="00667C1C"/>
    <w:rsid w:val="00673157"/>
    <w:rsid w:val="00685D07"/>
    <w:rsid w:val="006A5BAA"/>
    <w:rsid w:val="006B01A3"/>
    <w:rsid w:val="00720EF5"/>
    <w:rsid w:val="00751BF4"/>
    <w:rsid w:val="00753315"/>
    <w:rsid w:val="007B35F4"/>
    <w:rsid w:val="007E01D3"/>
    <w:rsid w:val="007F419D"/>
    <w:rsid w:val="0083039C"/>
    <w:rsid w:val="00833B62"/>
    <w:rsid w:val="00891EFB"/>
    <w:rsid w:val="00905670"/>
    <w:rsid w:val="00910A56"/>
    <w:rsid w:val="00913872"/>
    <w:rsid w:val="009142F6"/>
    <w:rsid w:val="00923CB6"/>
    <w:rsid w:val="00931C71"/>
    <w:rsid w:val="00934D7B"/>
    <w:rsid w:val="009357BC"/>
    <w:rsid w:val="00937CD8"/>
    <w:rsid w:val="00964279"/>
    <w:rsid w:val="009868AE"/>
    <w:rsid w:val="009B26D6"/>
    <w:rsid w:val="009B4D18"/>
    <w:rsid w:val="009E4473"/>
    <w:rsid w:val="009F4D72"/>
    <w:rsid w:val="00A50DED"/>
    <w:rsid w:val="00A710E3"/>
    <w:rsid w:val="00A750FB"/>
    <w:rsid w:val="00A8527F"/>
    <w:rsid w:val="00AE3258"/>
    <w:rsid w:val="00AE4774"/>
    <w:rsid w:val="00AF55B4"/>
    <w:rsid w:val="00B1087A"/>
    <w:rsid w:val="00B11CBA"/>
    <w:rsid w:val="00B12784"/>
    <w:rsid w:val="00B15B85"/>
    <w:rsid w:val="00B21608"/>
    <w:rsid w:val="00B415C5"/>
    <w:rsid w:val="00B61799"/>
    <w:rsid w:val="00B93972"/>
    <w:rsid w:val="00BA5616"/>
    <w:rsid w:val="00BC04C1"/>
    <w:rsid w:val="00C31B74"/>
    <w:rsid w:val="00C71678"/>
    <w:rsid w:val="00C93AC6"/>
    <w:rsid w:val="00CA0D59"/>
    <w:rsid w:val="00CA552F"/>
    <w:rsid w:val="00CD63EC"/>
    <w:rsid w:val="00CF5118"/>
    <w:rsid w:val="00D155E1"/>
    <w:rsid w:val="00D27ABC"/>
    <w:rsid w:val="00D357B0"/>
    <w:rsid w:val="00D575FF"/>
    <w:rsid w:val="00D85FEB"/>
    <w:rsid w:val="00D9076E"/>
    <w:rsid w:val="00D92910"/>
    <w:rsid w:val="00DB5AF6"/>
    <w:rsid w:val="00DE374D"/>
    <w:rsid w:val="00DF3314"/>
    <w:rsid w:val="00E11FB4"/>
    <w:rsid w:val="00E220CF"/>
    <w:rsid w:val="00E74E78"/>
    <w:rsid w:val="00E87A8E"/>
    <w:rsid w:val="00EA2ADE"/>
    <w:rsid w:val="00EB0A5B"/>
    <w:rsid w:val="00EB6E2B"/>
    <w:rsid w:val="00ED497A"/>
    <w:rsid w:val="00EE3595"/>
    <w:rsid w:val="00EE49AC"/>
    <w:rsid w:val="00F1312E"/>
    <w:rsid w:val="00F16CBE"/>
    <w:rsid w:val="00F64B38"/>
    <w:rsid w:val="00FA1E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0E3"/>
    <w:pPr>
      <w:spacing w:line="280" w:lineRule="atLeast"/>
      <w:jc w:val="both"/>
    </w:pPr>
    <w:rPr>
      <w:rFonts w:ascii="Arial" w:hAnsi="Arial"/>
      <w:sz w:val="22"/>
      <w:lang w:eastAsia="de-DE"/>
    </w:rPr>
  </w:style>
  <w:style w:type="paragraph" w:styleId="Heading1">
    <w:name w:val="heading 1"/>
    <w:basedOn w:val="Normal"/>
    <w:next w:val="Normal"/>
    <w:qFormat/>
    <w:rsid w:val="00A710E3"/>
    <w:pPr>
      <w:keepNext/>
      <w:numPr>
        <w:numId w:val="3"/>
      </w:numPr>
      <w:tabs>
        <w:tab w:val="clear" w:pos="567"/>
        <w:tab w:val="num" w:pos="851"/>
      </w:tabs>
      <w:spacing w:after="330"/>
      <w:ind w:left="851" w:hanging="851"/>
      <w:jc w:val="left"/>
      <w:outlineLvl w:val="0"/>
    </w:pPr>
    <w:rPr>
      <w:b/>
    </w:rPr>
  </w:style>
  <w:style w:type="paragraph" w:styleId="Heading2">
    <w:name w:val="heading 2"/>
    <w:basedOn w:val="Normal"/>
    <w:next w:val="Normal"/>
    <w:qFormat/>
    <w:rsid w:val="00A710E3"/>
    <w:pPr>
      <w:keepNext/>
      <w:numPr>
        <w:ilvl w:val="1"/>
        <w:numId w:val="4"/>
      </w:numPr>
      <w:tabs>
        <w:tab w:val="clear" w:pos="567"/>
        <w:tab w:val="num" w:pos="851"/>
      </w:tabs>
      <w:spacing w:after="330"/>
      <w:ind w:left="851" w:hanging="851"/>
      <w:jc w:val="left"/>
      <w:outlineLvl w:val="1"/>
    </w:pPr>
    <w:rPr>
      <w:b/>
    </w:rPr>
  </w:style>
  <w:style w:type="paragraph" w:styleId="Heading3">
    <w:name w:val="heading 3"/>
    <w:basedOn w:val="Normal"/>
    <w:next w:val="Normal"/>
    <w:qFormat/>
    <w:rsid w:val="00A710E3"/>
    <w:pPr>
      <w:keepNext/>
      <w:numPr>
        <w:ilvl w:val="2"/>
        <w:numId w:val="5"/>
      </w:numPr>
      <w:tabs>
        <w:tab w:val="clear" w:pos="567"/>
        <w:tab w:val="num" w:pos="851"/>
      </w:tabs>
      <w:spacing w:after="330"/>
      <w:ind w:left="851" w:hanging="851"/>
      <w:jc w:val="left"/>
      <w:outlineLvl w:val="2"/>
    </w:pPr>
    <w:rPr>
      <w:rFonts w:cs="Arial"/>
      <w:bCs/>
      <w:szCs w:val="26"/>
    </w:rPr>
  </w:style>
  <w:style w:type="paragraph" w:styleId="Heading4">
    <w:name w:val="heading 4"/>
    <w:basedOn w:val="Normal"/>
    <w:next w:val="Normal"/>
    <w:qFormat/>
    <w:rsid w:val="00A710E3"/>
    <w:pPr>
      <w:keepNext/>
      <w:numPr>
        <w:ilvl w:val="3"/>
        <w:numId w:val="6"/>
      </w:numPr>
      <w:tabs>
        <w:tab w:val="clear" w:pos="1080"/>
        <w:tab w:val="num" w:pos="851"/>
        <w:tab w:val="left" w:pos="1134"/>
      </w:tabs>
      <w:spacing w:after="330"/>
      <w:ind w:left="851" w:hanging="851"/>
      <w:jc w:val="left"/>
      <w:outlineLvl w:val="3"/>
    </w:pPr>
    <w:rPr>
      <w:bCs/>
      <w:i/>
      <w:szCs w:val="28"/>
    </w:rPr>
  </w:style>
  <w:style w:type="paragraph" w:styleId="Heading5">
    <w:name w:val="heading 5"/>
    <w:basedOn w:val="Heading4"/>
    <w:next w:val="Normal"/>
    <w:qFormat/>
    <w:rsid w:val="00A710E3"/>
    <w:pPr>
      <w:numPr>
        <w:ilvl w:val="4"/>
        <w:numId w:val="7"/>
      </w:numPr>
      <w:tabs>
        <w:tab w:val="clear" w:pos="56"/>
        <w:tab w:val="num" w:pos="1080"/>
      </w:tabs>
      <w:ind w:left="851" w:hanging="851"/>
      <w:outlineLvl w:val="4"/>
    </w:pPr>
    <w:rPr>
      <w:bCs w:val="0"/>
      <w:iCs/>
      <w:szCs w:val="26"/>
    </w:rPr>
  </w:style>
  <w:style w:type="paragraph" w:styleId="Heading6">
    <w:name w:val="heading 6"/>
    <w:basedOn w:val="Normal"/>
    <w:qFormat/>
    <w:rsid w:val="00A710E3"/>
    <w:pPr>
      <w:numPr>
        <w:ilvl w:val="5"/>
        <w:numId w:val="1"/>
      </w:numPr>
      <w:jc w:val="left"/>
      <w:outlineLvl w:val="5"/>
    </w:pPr>
    <w:rPr>
      <w:bCs/>
      <w:szCs w:val="22"/>
    </w:rPr>
  </w:style>
  <w:style w:type="paragraph" w:styleId="Heading7">
    <w:name w:val="heading 7"/>
    <w:basedOn w:val="Normal"/>
    <w:next w:val="Normal"/>
    <w:qFormat/>
    <w:rsid w:val="00A710E3"/>
    <w:pPr>
      <w:numPr>
        <w:ilvl w:val="6"/>
        <w:numId w:val="1"/>
      </w:numPr>
      <w:spacing w:before="240" w:after="60"/>
      <w:jc w:val="left"/>
      <w:outlineLvl w:val="6"/>
    </w:pPr>
    <w:rPr>
      <w:szCs w:val="24"/>
    </w:rPr>
  </w:style>
  <w:style w:type="paragraph" w:styleId="Heading8">
    <w:name w:val="heading 8"/>
    <w:basedOn w:val="Normal"/>
    <w:next w:val="Normal"/>
    <w:qFormat/>
    <w:rsid w:val="00A710E3"/>
    <w:pPr>
      <w:numPr>
        <w:ilvl w:val="7"/>
        <w:numId w:val="1"/>
      </w:numPr>
      <w:spacing w:before="240" w:after="60"/>
      <w:jc w:val="left"/>
      <w:outlineLvl w:val="7"/>
    </w:pPr>
    <w:rPr>
      <w:iCs/>
      <w:szCs w:val="24"/>
    </w:rPr>
  </w:style>
  <w:style w:type="paragraph" w:styleId="Heading9">
    <w:name w:val="heading 9"/>
    <w:basedOn w:val="Normal"/>
    <w:next w:val="Normal"/>
    <w:qFormat/>
    <w:rsid w:val="00A710E3"/>
    <w:pPr>
      <w:numPr>
        <w:ilvl w:val="8"/>
        <w:numId w:val="1"/>
      </w:num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10E3"/>
    <w:pPr>
      <w:tabs>
        <w:tab w:val="center" w:pos="4536"/>
        <w:tab w:val="right" w:pos="9072"/>
      </w:tabs>
      <w:spacing w:line="360" w:lineRule="auto"/>
    </w:pPr>
    <w:rPr>
      <w:sz w:val="26"/>
    </w:rPr>
  </w:style>
  <w:style w:type="paragraph" w:styleId="Header">
    <w:name w:val="header"/>
    <w:basedOn w:val="Normal"/>
    <w:rsid w:val="00A710E3"/>
    <w:pPr>
      <w:tabs>
        <w:tab w:val="center" w:pos="4819"/>
        <w:tab w:val="right" w:pos="9071"/>
      </w:tabs>
      <w:spacing w:line="360" w:lineRule="auto"/>
    </w:pPr>
    <w:rPr>
      <w:sz w:val="26"/>
    </w:rPr>
  </w:style>
  <w:style w:type="paragraph" w:styleId="DocumentMap">
    <w:name w:val="Document Map"/>
    <w:basedOn w:val="Normal"/>
    <w:semiHidden/>
    <w:rsid w:val="00A710E3"/>
    <w:pPr>
      <w:shd w:val="clear" w:color="auto" w:fill="000080"/>
    </w:pPr>
    <w:rPr>
      <w:rFonts w:ascii="Tahoma" w:hAnsi="Tahoma"/>
    </w:rPr>
  </w:style>
  <w:style w:type="paragraph" w:customStyle="1" w:styleId="Text1Num">
    <w:name w:val="Text 1 Num"/>
    <w:basedOn w:val="Heading1"/>
    <w:rsid w:val="00A710E3"/>
    <w:pPr>
      <w:keepNext w:val="0"/>
      <w:numPr>
        <w:numId w:val="2"/>
      </w:numPr>
      <w:tabs>
        <w:tab w:val="clear" w:pos="567"/>
        <w:tab w:val="num" w:pos="851"/>
      </w:tabs>
      <w:ind w:left="851" w:hanging="851"/>
      <w:jc w:val="both"/>
    </w:pPr>
    <w:rPr>
      <w:b w:val="0"/>
    </w:rPr>
  </w:style>
  <w:style w:type="paragraph" w:customStyle="1" w:styleId="Text2num">
    <w:name w:val="Text 2 num"/>
    <w:basedOn w:val="Normal"/>
    <w:rsid w:val="00A710E3"/>
    <w:pPr>
      <w:tabs>
        <w:tab w:val="left" w:pos="567"/>
      </w:tabs>
      <w:spacing w:after="330"/>
      <w:ind w:left="425" w:hanging="425"/>
    </w:pPr>
  </w:style>
  <w:style w:type="paragraph" w:customStyle="1" w:styleId="Text3Num">
    <w:name w:val="Text 3 Num"/>
    <w:basedOn w:val="Text2num"/>
    <w:rsid w:val="00A710E3"/>
    <w:pPr>
      <w:ind w:left="567" w:hanging="567"/>
    </w:pPr>
  </w:style>
  <w:style w:type="paragraph" w:customStyle="1" w:styleId="Text4Num">
    <w:name w:val="Text 4 Num"/>
    <w:basedOn w:val="Text2num"/>
    <w:rsid w:val="00A710E3"/>
    <w:pPr>
      <w:tabs>
        <w:tab w:val="clear" w:pos="567"/>
      </w:tabs>
      <w:ind w:left="709" w:hanging="709"/>
    </w:pPr>
  </w:style>
  <w:style w:type="paragraph" w:customStyle="1" w:styleId="Text5Num">
    <w:name w:val="Text 5 Num"/>
    <w:basedOn w:val="Text2num"/>
    <w:rsid w:val="00A710E3"/>
    <w:pPr>
      <w:tabs>
        <w:tab w:val="clear" w:pos="567"/>
      </w:tabs>
      <w:ind w:left="851" w:hanging="851"/>
    </w:pPr>
  </w:style>
  <w:style w:type="paragraph" w:styleId="TOC1">
    <w:name w:val="toc 1"/>
    <w:basedOn w:val="Normal"/>
    <w:next w:val="Normal"/>
    <w:autoRedefine/>
    <w:semiHidden/>
    <w:rsid w:val="00A710E3"/>
    <w:pPr>
      <w:tabs>
        <w:tab w:val="left" w:pos="440"/>
        <w:tab w:val="right" w:leader="dot" w:pos="9060"/>
      </w:tabs>
    </w:pPr>
    <w:rPr>
      <w:b/>
      <w:caps/>
      <w:noProof/>
      <w:szCs w:val="22"/>
    </w:rPr>
  </w:style>
  <w:style w:type="paragraph" w:styleId="TOC2">
    <w:name w:val="toc 2"/>
    <w:basedOn w:val="Normal"/>
    <w:next w:val="Normal"/>
    <w:autoRedefine/>
    <w:semiHidden/>
    <w:rsid w:val="00A710E3"/>
    <w:pPr>
      <w:tabs>
        <w:tab w:val="left" w:pos="990"/>
        <w:tab w:val="right" w:leader="dot" w:pos="9060"/>
      </w:tabs>
      <w:ind w:left="440"/>
    </w:pPr>
    <w:rPr>
      <w:b/>
      <w:noProof/>
    </w:rPr>
  </w:style>
  <w:style w:type="paragraph" w:styleId="TOC3">
    <w:name w:val="toc 3"/>
    <w:basedOn w:val="Normal"/>
    <w:next w:val="Normal"/>
    <w:autoRedefine/>
    <w:semiHidden/>
    <w:rsid w:val="00A710E3"/>
    <w:pPr>
      <w:tabs>
        <w:tab w:val="right" w:leader="dot" w:pos="9060"/>
      </w:tabs>
      <w:ind w:left="1650" w:hanging="660"/>
    </w:pPr>
    <w:rPr>
      <w:noProof/>
      <w:szCs w:val="22"/>
    </w:rPr>
  </w:style>
  <w:style w:type="paragraph" w:styleId="TOC4">
    <w:name w:val="toc 4"/>
    <w:basedOn w:val="Normal"/>
    <w:next w:val="Normal"/>
    <w:autoRedefine/>
    <w:semiHidden/>
    <w:rsid w:val="00A710E3"/>
    <w:pPr>
      <w:tabs>
        <w:tab w:val="left" w:pos="2618"/>
        <w:tab w:val="right" w:leader="dot" w:pos="9060"/>
      </w:tabs>
      <w:ind w:left="2534" w:hanging="884"/>
    </w:pPr>
    <w:rPr>
      <w:i/>
      <w:noProof/>
      <w:szCs w:val="22"/>
    </w:rPr>
  </w:style>
  <w:style w:type="paragraph" w:styleId="TOC5">
    <w:name w:val="toc 5"/>
    <w:basedOn w:val="Normal"/>
    <w:next w:val="Normal"/>
    <w:autoRedefine/>
    <w:semiHidden/>
    <w:rsid w:val="00A710E3"/>
    <w:pPr>
      <w:tabs>
        <w:tab w:val="left" w:pos="2420"/>
        <w:tab w:val="right" w:pos="9061"/>
      </w:tabs>
      <w:ind w:left="3542" w:hanging="1064"/>
    </w:pPr>
    <w:rPr>
      <w:i/>
      <w:noProof/>
      <w:szCs w:val="22"/>
    </w:rPr>
  </w:style>
  <w:style w:type="character" w:styleId="Hyperlink">
    <w:name w:val="Hyperlink"/>
    <w:basedOn w:val="DefaultParagraphFont"/>
    <w:rsid w:val="00AE4774"/>
    <w:rPr>
      <w:color w:val="0000FF"/>
      <w:u w:val="single"/>
    </w:rPr>
  </w:style>
  <w:style w:type="paragraph" w:styleId="ListParagraph">
    <w:name w:val="List Paragraph"/>
    <w:basedOn w:val="Normal"/>
    <w:uiPriority w:val="34"/>
    <w:qFormat/>
    <w:rsid w:val="00923CB6"/>
    <w:pPr>
      <w:ind w:left="709"/>
    </w:pPr>
  </w:style>
  <w:style w:type="character" w:styleId="FollowedHyperlink">
    <w:name w:val="FollowedHyperlink"/>
    <w:basedOn w:val="DefaultParagraphFont"/>
    <w:rsid w:val="000A6BE5"/>
    <w:rPr>
      <w:color w:val="800080" w:themeColor="followedHyperlink"/>
      <w:u w:val="single"/>
    </w:rPr>
  </w:style>
  <w:style w:type="paragraph" w:styleId="BalloonText">
    <w:name w:val="Balloon Text"/>
    <w:basedOn w:val="Normal"/>
    <w:link w:val="BalloonTextChar"/>
    <w:rsid w:val="0006380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6380A"/>
    <w:rPr>
      <w:rFonts w:ascii="Tahoma" w:hAnsi="Tahoma" w:cs="Tahoma"/>
      <w:sz w:val="16"/>
      <w:szCs w:val="16"/>
      <w:lang w:eastAsia="de-DE"/>
    </w:rPr>
  </w:style>
  <w:style w:type="paragraph" w:customStyle="1" w:styleId="Sheading1">
    <w:name w:val="S_heading 1"/>
    <w:basedOn w:val="Normal"/>
    <w:rsid w:val="00324500"/>
    <w:pPr>
      <w:numPr>
        <w:numId w:val="17"/>
      </w:numPr>
    </w:pPr>
  </w:style>
  <w:style w:type="paragraph" w:customStyle="1" w:styleId="Sheading2">
    <w:name w:val="S_heading 2"/>
    <w:basedOn w:val="Normal"/>
    <w:rsid w:val="00324500"/>
    <w:pPr>
      <w:numPr>
        <w:ilvl w:val="1"/>
        <w:numId w:val="17"/>
      </w:numPr>
    </w:pPr>
  </w:style>
  <w:style w:type="paragraph" w:customStyle="1" w:styleId="Sheading3">
    <w:name w:val="S_heading 3"/>
    <w:basedOn w:val="Normal"/>
    <w:rsid w:val="00324500"/>
    <w:pPr>
      <w:numPr>
        <w:ilvl w:val="2"/>
        <w:numId w:val="17"/>
      </w:numPr>
    </w:pPr>
  </w:style>
  <w:style w:type="paragraph" w:customStyle="1" w:styleId="Sheading4">
    <w:name w:val="S_heading 4"/>
    <w:basedOn w:val="Normal"/>
    <w:rsid w:val="00324500"/>
    <w:pPr>
      <w:numPr>
        <w:ilvl w:val="3"/>
        <w:numId w:val="17"/>
      </w:numPr>
    </w:pPr>
  </w:style>
  <w:style w:type="paragraph" w:customStyle="1" w:styleId="Sheading5">
    <w:name w:val="S_heading 5"/>
    <w:basedOn w:val="Normal"/>
    <w:rsid w:val="00324500"/>
    <w:pPr>
      <w:numPr>
        <w:ilvl w:val="4"/>
        <w:numId w:val="17"/>
      </w:numPr>
    </w:pPr>
  </w:style>
  <w:style w:type="paragraph" w:customStyle="1" w:styleId="SlistingA">
    <w:name w:val="S_listing (A)"/>
    <w:basedOn w:val="Normal"/>
    <w:rsid w:val="00324500"/>
    <w:pPr>
      <w:numPr>
        <w:ilvl w:val="5"/>
        <w:numId w:val="17"/>
      </w:numPr>
    </w:pPr>
  </w:style>
  <w:style w:type="paragraph" w:customStyle="1" w:styleId="Slistingi">
    <w:name w:val="S_listing (i)"/>
    <w:basedOn w:val="Normal"/>
    <w:rsid w:val="00324500"/>
    <w:pPr>
      <w:numPr>
        <w:ilvl w:val="6"/>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1462</Words>
  <Characters>9663</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VORLESUNG 13</vt:lpstr>
      <vt:lpstr>VORLESUNG 13</vt:lpstr>
    </vt:vector>
  </TitlesOfParts>
  <Company>Schoenherr Rechtsanwaelte</Company>
  <LinksUpToDate>false</LinksUpToDate>
  <CharactersWithSpaces>11103</CharactersWithSpaces>
  <SharedDoc>false</SharedDoc>
  <HLinks>
    <vt:vector size="6" baseType="variant">
      <vt:variant>
        <vt:i4>3080298</vt:i4>
      </vt:variant>
      <vt:variant>
        <vt:i4>0</vt:i4>
      </vt:variant>
      <vt:variant>
        <vt:i4>0</vt:i4>
      </vt:variant>
      <vt:variant>
        <vt:i4>5</vt:i4>
      </vt:variant>
      <vt:variant>
        <vt:lpwstr>http://www.wien.gv.at/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VORLESUNG 13</dc:title>
  <dc:subject/>
  <dc:creator>Schönherr Rechtsanwälte GmbH</dc:creator>
  <cp:keywords/>
  <dc:description/>
  <cp:lastModifiedBy>Schoenherr Rechtsanwaelte</cp:lastModifiedBy>
  <cp:revision>4</cp:revision>
  <cp:lastPrinted>2017-10-31T14:47:00Z</cp:lastPrinted>
  <dcterms:created xsi:type="dcterms:W3CDTF">2017-10-31T14:23:00Z</dcterms:created>
  <dcterms:modified xsi:type="dcterms:W3CDTF">2017-11-07T07:57:00Z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M13305103/1</vt:lpwstr>
  </property>
  <property fmtid="{D5CDD505-2E9C-101B-9397-08002B2CF9AE}" pid="3" name="WS_REF_OLD">
    <vt:lpwstr>M11985293/1</vt:lpwstr>
  </property>
</Properties>
</file>