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82" w:rsidRDefault="00B1087A" w:rsidP="002E4582">
      <w:pPr>
        <w:jc w:val="center"/>
        <w:rPr>
          <w:rFonts w:ascii="Verdana" w:hAnsi="Verdana"/>
          <w:b/>
          <w:sz w:val="20"/>
          <w:lang w:val="de-DE"/>
        </w:rPr>
      </w:pPr>
      <w:bookmarkStart w:id="0" w:name="_GoBack"/>
      <w:bookmarkEnd w:id="0"/>
      <w:r w:rsidRPr="006170DB">
        <w:rPr>
          <w:rFonts w:ascii="Verdana" w:hAnsi="Verdana"/>
          <w:b/>
          <w:sz w:val="20"/>
          <w:lang w:val="de-DE"/>
        </w:rPr>
        <w:t>VORLESUNG</w:t>
      </w:r>
      <w:r w:rsidR="002E4582" w:rsidRPr="006170DB">
        <w:rPr>
          <w:rFonts w:ascii="Verdana" w:hAnsi="Verdana"/>
          <w:b/>
          <w:sz w:val="20"/>
          <w:lang w:val="de-DE"/>
        </w:rPr>
        <w:t xml:space="preserve"> </w:t>
      </w:r>
      <w:r w:rsidR="00A40984">
        <w:rPr>
          <w:rFonts w:ascii="Verdana" w:hAnsi="Verdana"/>
          <w:b/>
          <w:sz w:val="20"/>
          <w:lang w:val="de-DE"/>
        </w:rPr>
        <w:t>1</w:t>
      </w:r>
      <w:r w:rsidR="00EE1525">
        <w:rPr>
          <w:rFonts w:ascii="Verdana" w:hAnsi="Verdana"/>
          <w:b/>
          <w:sz w:val="20"/>
          <w:lang w:val="de-DE"/>
        </w:rPr>
        <w:t>1</w:t>
      </w:r>
      <w:r w:rsidR="002E4582" w:rsidRPr="006170DB">
        <w:rPr>
          <w:rFonts w:ascii="Verdana" w:hAnsi="Verdana"/>
          <w:b/>
          <w:sz w:val="20"/>
          <w:lang w:val="de-DE"/>
        </w:rPr>
        <w:t>.1</w:t>
      </w:r>
      <w:r w:rsidR="000A239C">
        <w:rPr>
          <w:rFonts w:ascii="Verdana" w:hAnsi="Verdana"/>
          <w:b/>
          <w:sz w:val="20"/>
          <w:lang w:val="de-DE"/>
        </w:rPr>
        <w:t>2</w:t>
      </w:r>
      <w:r w:rsidR="002E4582" w:rsidRPr="006170DB">
        <w:rPr>
          <w:rFonts w:ascii="Verdana" w:hAnsi="Verdana"/>
          <w:b/>
          <w:sz w:val="20"/>
          <w:lang w:val="de-DE"/>
        </w:rPr>
        <w:t>.20</w:t>
      </w:r>
      <w:r w:rsidR="00706DCA" w:rsidRPr="006170DB">
        <w:rPr>
          <w:rFonts w:ascii="Verdana" w:hAnsi="Verdana"/>
          <w:b/>
          <w:sz w:val="20"/>
          <w:lang w:val="de-DE"/>
        </w:rPr>
        <w:t>1</w:t>
      </w:r>
      <w:r w:rsidR="00EE1525">
        <w:rPr>
          <w:rFonts w:ascii="Verdana" w:hAnsi="Verdana"/>
          <w:b/>
          <w:sz w:val="20"/>
          <w:lang w:val="de-DE"/>
        </w:rPr>
        <w:t>7</w:t>
      </w:r>
    </w:p>
    <w:p w:rsidR="00167E2B" w:rsidRDefault="00167E2B" w:rsidP="002E4582">
      <w:pPr>
        <w:jc w:val="center"/>
        <w:rPr>
          <w:rFonts w:ascii="Verdana" w:hAnsi="Verdana"/>
          <w:b/>
          <w:sz w:val="20"/>
          <w:lang w:val="de-DE"/>
        </w:rPr>
      </w:pPr>
    </w:p>
    <w:p w:rsidR="00912B84" w:rsidRPr="006170DB" w:rsidRDefault="00912B84" w:rsidP="002E4582">
      <w:pPr>
        <w:jc w:val="center"/>
        <w:rPr>
          <w:rFonts w:ascii="Verdana" w:hAnsi="Verdana"/>
          <w:b/>
          <w:sz w:val="20"/>
          <w:lang w:val="de-DE"/>
        </w:rPr>
      </w:pPr>
      <w:r>
        <w:rPr>
          <w:rFonts w:ascii="Verdana" w:hAnsi="Verdana"/>
          <w:b/>
          <w:sz w:val="20"/>
          <w:lang w:val="de-DE"/>
        </w:rPr>
        <w:t>KAUFVERTRAG</w:t>
      </w:r>
    </w:p>
    <w:p w:rsidR="00AE4774" w:rsidRPr="006170DB" w:rsidRDefault="00AE4774" w:rsidP="00AE4774">
      <w:pPr>
        <w:rPr>
          <w:rFonts w:ascii="Verdana" w:hAnsi="Verdana"/>
          <w:sz w:val="20"/>
          <w:lang w:val="de-DE"/>
        </w:rPr>
      </w:pPr>
    </w:p>
    <w:p w:rsidR="00AE4774" w:rsidRPr="00EF0ED1" w:rsidRDefault="00167E2B" w:rsidP="00EF0ED1">
      <w:pPr>
        <w:pStyle w:val="Listenabsatz"/>
        <w:numPr>
          <w:ilvl w:val="0"/>
          <w:numId w:val="13"/>
        </w:numPr>
        <w:rPr>
          <w:rFonts w:ascii="Verdana" w:hAnsi="Verdana"/>
          <w:b/>
          <w:sz w:val="20"/>
          <w:lang w:val="de-DE"/>
        </w:rPr>
      </w:pPr>
      <w:r>
        <w:rPr>
          <w:rFonts w:ascii="Verdana" w:hAnsi="Verdana"/>
          <w:b/>
          <w:sz w:val="20"/>
          <w:lang w:val="de-DE"/>
        </w:rPr>
        <w:t>TEILUNG EINER LIEGENSCHAFT</w:t>
      </w:r>
    </w:p>
    <w:p w:rsidR="00AE4774" w:rsidRPr="006170DB" w:rsidRDefault="00AE4774" w:rsidP="00AE4774">
      <w:pPr>
        <w:rPr>
          <w:rFonts w:ascii="Verdana" w:hAnsi="Verdana"/>
          <w:sz w:val="20"/>
          <w:lang w:val="de-DE"/>
        </w:rPr>
      </w:pPr>
    </w:p>
    <w:p w:rsidR="00AE4774" w:rsidRDefault="00167E2B" w:rsidP="007E01D3">
      <w:pPr>
        <w:numPr>
          <w:ilvl w:val="0"/>
          <w:numId w:val="8"/>
        </w:numPr>
        <w:tabs>
          <w:tab w:val="clear" w:pos="567"/>
        </w:tabs>
        <w:ind w:left="440" w:hanging="440"/>
        <w:rPr>
          <w:rFonts w:ascii="Verdana" w:hAnsi="Verdana"/>
          <w:sz w:val="20"/>
          <w:lang w:val="de-DE"/>
        </w:rPr>
      </w:pPr>
      <w:r>
        <w:rPr>
          <w:rFonts w:ascii="Verdana" w:hAnsi="Verdana"/>
          <w:sz w:val="20"/>
          <w:lang w:val="de-DE"/>
        </w:rPr>
        <w:t>Teilungsplan durch einen Zivilingenieur muss schon auf vermessenen Gren</w:t>
      </w:r>
      <w:r>
        <w:rPr>
          <w:rFonts w:ascii="Verdana" w:hAnsi="Verdana"/>
          <w:sz w:val="20"/>
          <w:lang w:val="de-DE"/>
        </w:rPr>
        <w:t>z</w:t>
      </w:r>
      <w:r>
        <w:rPr>
          <w:rFonts w:ascii="Verdana" w:hAnsi="Verdana"/>
          <w:sz w:val="20"/>
          <w:lang w:val="de-DE"/>
        </w:rPr>
        <w:t>punkten erstellt werden, die eine Grenzfestsetzung zwischen den Nachbarn e</w:t>
      </w:r>
      <w:r>
        <w:rPr>
          <w:rFonts w:ascii="Verdana" w:hAnsi="Verdana"/>
          <w:sz w:val="20"/>
          <w:lang w:val="de-DE"/>
        </w:rPr>
        <w:t>r</w:t>
      </w:r>
      <w:r>
        <w:rPr>
          <w:rFonts w:ascii="Verdana" w:hAnsi="Verdana"/>
          <w:sz w:val="20"/>
          <w:lang w:val="de-DE"/>
        </w:rPr>
        <w:t>forderlich machen</w:t>
      </w:r>
      <w:r w:rsidR="006170DB">
        <w:rPr>
          <w:rFonts w:ascii="Verdana" w:hAnsi="Verdana"/>
          <w:sz w:val="20"/>
          <w:lang w:val="de-DE"/>
        </w:rPr>
        <w:t>.</w:t>
      </w:r>
    </w:p>
    <w:p w:rsidR="002348EA" w:rsidRDefault="002348EA" w:rsidP="002348EA">
      <w:pPr>
        <w:ind w:left="440"/>
        <w:rPr>
          <w:rFonts w:ascii="Verdana" w:hAnsi="Verdana"/>
          <w:sz w:val="20"/>
          <w:lang w:val="de-DE"/>
        </w:rPr>
      </w:pPr>
    </w:p>
    <w:p w:rsidR="00167E2B" w:rsidRDefault="00167E2B" w:rsidP="007E01D3">
      <w:pPr>
        <w:numPr>
          <w:ilvl w:val="0"/>
          <w:numId w:val="8"/>
        </w:numPr>
        <w:tabs>
          <w:tab w:val="clear" w:pos="567"/>
        </w:tabs>
        <w:ind w:left="440" w:hanging="440"/>
        <w:rPr>
          <w:rFonts w:ascii="Verdana" w:hAnsi="Verdana"/>
          <w:sz w:val="20"/>
          <w:lang w:val="de-DE"/>
        </w:rPr>
      </w:pPr>
      <w:r>
        <w:rPr>
          <w:rFonts w:ascii="Verdana" w:hAnsi="Verdana"/>
          <w:sz w:val="20"/>
          <w:lang w:val="de-DE"/>
        </w:rPr>
        <w:t>Bewilligung des Vermessungsamts (nur 18 Monate gültig)</w:t>
      </w:r>
    </w:p>
    <w:p w:rsidR="002348EA" w:rsidRDefault="002348EA" w:rsidP="002348EA">
      <w:pPr>
        <w:ind w:left="440"/>
        <w:rPr>
          <w:rFonts w:ascii="Verdana" w:hAnsi="Verdana"/>
          <w:sz w:val="20"/>
          <w:lang w:val="de-DE"/>
        </w:rPr>
      </w:pPr>
    </w:p>
    <w:p w:rsidR="00167E2B" w:rsidRDefault="00167E2B" w:rsidP="007E01D3">
      <w:pPr>
        <w:numPr>
          <w:ilvl w:val="0"/>
          <w:numId w:val="8"/>
        </w:numPr>
        <w:tabs>
          <w:tab w:val="clear" w:pos="567"/>
        </w:tabs>
        <w:ind w:left="440" w:hanging="440"/>
        <w:rPr>
          <w:rFonts w:ascii="Verdana" w:hAnsi="Verdana"/>
          <w:sz w:val="20"/>
          <w:lang w:val="de-DE"/>
        </w:rPr>
      </w:pPr>
      <w:r>
        <w:rPr>
          <w:rFonts w:ascii="Verdana" w:hAnsi="Verdana"/>
          <w:sz w:val="20"/>
          <w:lang w:val="de-DE"/>
        </w:rPr>
        <w:t>Bewilligung der Gemeinde</w:t>
      </w:r>
    </w:p>
    <w:p w:rsidR="002348EA" w:rsidRDefault="002348EA" w:rsidP="002348EA">
      <w:pPr>
        <w:ind w:left="440"/>
        <w:rPr>
          <w:rFonts w:ascii="Verdana" w:hAnsi="Verdana"/>
          <w:sz w:val="20"/>
          <w:lang w:val="de-DE"/>
        </w:rPr>
      </w:pPr>
    </w:p>
    <w:p w:rsidR="00167E2B" w:rsidRDefault="00167E2B" w:rsidP="007E01D3">
      <w:pPr>
        <w:numPr>
          <w:ilvl w:val="0"/>
          <w:numId w:val="8"/>
        </w:numPr>
        <w:tabs>
          <w:tab w:val="clear" w:pos="567"/>
        </w:tabs>
        <w:ind w:left="440" w:hanging="440"/>
        <w:rPr>
          <w:rFonts w:ascii="Verdana" w:hAnsi="Verdana"/>
          <w:sz w:val="20"/>
          <w:lang w:val="de-DE"/>
        </w:rPr>
      </w:pPr>
      <w:r>
        <w:rPr>
          <w:rFonts w:ascii="Verdana" w:hAnsi="Verdana"/>
          <w:sz w:val="20"/>
          <w:lang w:val="de-DE"/>
        </w:rPr>
        <w:t>§ 23 Liegenschaftsteilungsgesetz sieht vor, dass ein Teilungsplan als Gesam</w:t>
      </w:r>
      <w:r>
        <w:rPr>
          <w:rFonts w:ascii="Verdana" w:hAnsi="Verdana"/>
          <w:sz w:val="20"/>
          <w:lang w:val="de-DE"/>
        </w:rPr>
        <w:t>t</w:t>
      </w:r>
      <w:r>
        <w:rPr>
          <w:rFonts w:ascii="Verdana" w:hAnsi="Verdana"/>
          <w:sz w:val="20"/>
          <w:lang w:val="de-DE"/>
        </w:rPr>
        <w:t>heit in einem Grundbuchsgesuch durchgeführt werden muss.</w:t>
      </w:r>
    </w:p>
    <w:p w:rsidR="002348EA" w:rsidRPr="002348EA" w:rsidRDefault="002348EA" w:rsidP="002348EA">
      <w:pPr>
        <w:rPr>
          <w:rFonts w:ascii="Verdana" w:hAnsi="Verdana"/>
          <w:sz w:val="20"/>
          <w:lang w:val="de-DE"/>
        </w:rPr>
      </w:pPr>
    </w:p>
    <w:p w:rsidR="00167E2B" w:rsidRDefault="00167E2B" w:rsidP="007E01D3">
      <w:pPr>
        <w:numPr>
          <w:ilvl w:val="0"/>
          <w:numId w:val="8"/>
        </w:numPr>
        <w:tabs>
          <w:tab w:val="clear" w:pos="567"/>
        </w:tabs>
        <w:ind w:left="440" w:hanging="440"/>
        <w:rPr>
          <w:rFonts w:ascii="Verdana" w:hAnsi="Verdana"/>
          <w:sz w:val="20"/>
          <w:lang w:val="de-DE"/>
        </w:rPr>
      </w:pPr>
      <w:r>
        <w:rPr>
          <w:rFonts w:ascii="Verdana" w:hAnsi="Verdana"/>
          <w:sz w:val="20"/>
          <w:lang w:val="de-DE"/>
        </w:rPr>
        <w:t>Für alle Belastungen muss entweder durch eine Freilassungserklärung des B</w:t>
      </w:r>
      <w:r>
        <w:rPr>
          <w:rFonts w:ascii="Verdana" w:hAnsi="Verdana"/>
          <w:sz w:val="20"/>
          <w:lang w:val="de-DE"/>
        </w:rPr>
        <w:t>e</w:t>
      </w:r>
      <w:r>
        <w:rPr>
          <w:rFonts w:ascii="Verdana" w:hAnsi="Verdana"/>
          <w:sz w:val="20"/>
          <w:lang w:val="de-DE"/>
        </w:rPr>
        <w:t>rechtigten (meist eine Bank als Pfandgläubiger) oder durch eine Plandarstellung des Zivilingenieurs, wo die Belastung örtlich liegt (zB bei Denkmalschutz eines Gebäudeteils, bei einem zum Naturdenkmal erklärten Baum, bei Wegediens</w:t>
      </w:r>
      <w:r>
        <w:rPr>
          <w:rFonts w:ascii="Verdana" w:hAnsi="Verdana"/>
          <w:sz w:val="20"/>
          <w:lang w:val="de-DE"/>
        </w:rPr>
        <w:t>t</w:t>
      </w:r>
      <w:r>
        <w:rPr>
          <w:rFonts w:ascii="Verdana" w:hAnsi="Verdana"/>
          <w:sz w:val="20"/>
          <w:lang w:val="de-DE"/>
        </w:rPr>
        <w:t xml:space="preserve">barkeiten) </w:t>
      </w:r>
      <w:r w:rsidR="007529A5">
        <w:rPr>
          <w:rFonts w:ascii="Verdana" w:hAnsi="Verdana"/>
          <w:sz w:val="20"/>
          <w:lang w:val="de-DE"/>
        </w:rPr>
        <w:t xml:space="preserve">dargelegt werden, auf welchen </w:t>
      </w:r>
      <w:r w:rsidR="00DE780D">
        <w:rPr>
          <w:rFonts w:ascii="Verdana" w:hAnsi="Verdana"/>
          <w:sz w:val="20"/>
          <w:lang w:val="de-DE"/>
        </w:rPr>
        <w:t>T</w:t>
      </w:r>
      <w:r w:rsidR="007529A5">
        <w:rPr>
          <w:rFonts w:ascii="Verdana" w:hAnsi="Verdana"/>
          <w:sz w:val="20"/>
          <w:lang w:val="de-DE"/>
        </w:rPr>
        <w:t>eilen die Belastungen jeweils einz</w:t>
      </w:r>
      <w:r w:rsidR="007529A5">
        <w:rPr>
          <w:rFonts w:ascii="Verdana" w:hAnsi="Verdana"/>
          <w:sz w:val="20"/>
          <w:lang w:val="de-DE"/>
        </w:rPr>
        <w:t>u</w:t>
      </w:r>
      <w:r w:rsidR="007529A5">
        <w:rPr>
          <w:rFonts w:ascii="Verdana" w:hAnsi="Verdana"/>
          <w:sz w:val="20"/>
          <w:lang w:val="de-DE"/>
        </w:rPr>
        <w:t>verleiben sind – im Zweifel erfolgt die Einverleibung auf allen Teilen (analoges gilt für die Rechte bei der herrschenden Liegenschaft)</w:t>
      </w:r>
    </w:p>
    <w:p w:rsidR="002348EA" w:rsidRDefault="002348EA" w:rsidP="002348EA">
      <w:pPr>
        <w:ind w:left="440"/>
        <w:rPr>
          <w:rFonts w:ascii="Verdana" w:hAnsi="Verdana"/>
          <w:sz w:val="20"/>
          <w:lang w:val="de-DE"/>
        </w:rPr>
      </w:pPr>
    </w:p>
    <w:p w:rsidR="007529A5" w:rsidRPr="006170DB" w:rsidRDefault="007529A5" w:rsidP="007E01D3">
      <w:pPr>
        <w:numPr>
          <w:ilvl w:val="0"/>
          <w:numId w:val="8"/>
        </w:numPr>
        <w:tabs>
          <w:tab w:val="clear" w:pos="567"/>
        </w:tabs>
        <w:ind w:left="440" w:hanging="440"/>
        <w:rPr>
          <w:rFonts w:ascii="Verdana" w:hAnsi="Verdana"/>
          <w:sz w:val="20"/>
          <w:lang w:val="de-DE"/>
        </w:rPr>
      </w:pPr>
      <w:r>
        <w:rPr>
          <w:rFonts w:ascii="Verdana" w:hAnsi="Verdana"/>
          <w:sz w:val="20"/>
          <w:lang w:val="de-DE"/>
        </w:rPr>
        <w:t>An wechselseitige Fahr- und Leitungsrechte denken, wenn eine Teilung g</w:t>
      </w:r>
      <w:r>
        <w:rPr>
          <w:rFonts w:ascii="Verdana" w:hAnsi="Verdana"/>
          <w:sz w:val="20"/>
          <w:lang w:val="de-DE"/>
        </w:rPr>
        <w:t>e</w:t>
      </w:r>
      <w:r>
        <w:rPr>
          <w:rFonts w:ascii="Verdana" w:hAnsi="Verdana"/>
          <w:sz w:val="20"/>
          <w:lang w:val="de-DE"/>
        </w:rPr>
        <w:t>macht wird.</w:t>
      </w:r>
    </w:p>
    <w:p w:rsidR="009F4D72" w:rsidRDefault="009F4D72" w:rsidP="007E01D3">
      <w:pPr>
        <w:ind w:left="440" w:hanging="440"/>
        <w:rPr>
          <w:rFonts w:ascii="Verdana" w:hAnsi="Verdana"/>
          <w:sz w:val="20"/>
          <w:lang w:val="de-DE"/>
        </w:rPr>
      </w:pPr>
    </w:p>
    <w:p w:rsidR="00067742" w:rsidRDefault="00067742" w:rsidP="007529A5">
      <w:pPr>
        <w:pStyle w:val="Listenabsatz"/>
        <w:numPr>
          <w:ilvl w:val="0"/>
          <w:numId w:val="13"/>
        </w:numPr>
        <w:rPr>
          <w:rFonts w:ascii="Verdana" w:hAnsi="Verdana"/>
          <w:b/>
          <w:sz w:val="20"/>
          <w:lang w:val="de-DE"/>
        </w:rPr>
      </w:pPr>
      <w:r>
        <w:rPr>
          <w:rFonts w:ascii="Verdana" w:hAnsi="Verdana"/>
          <w:b/>
          <w:sz w:val="20"/>
          <w:lang w:val="de-DE"/>
        </w:rPr>
        <w:t>KAUFGEGENSTAND</w:t>
      </w:r>
    </w:p>
    <w:p w:rsidR="00067742" w:rsidRDefault="00067742" w:rsidP="00067742">
      <w:pPr>
        <w:pStyle w:val="Listenabsatz"/>
        <w:ind w:left="360"/>
        <w:rPr>
          <w:rFonts w:ascii="Verdana" w:hAnsi="Verdana"/>
          <w:b/>
          <w:sz w:val="20"/>
          <w:lang w:val="de-DE"/>
        </w:rPr>
      </w:pPr>
    </w:p>
    <w:p w:rsidR="00067742" w:rsidRDefault="00067742" w:rsidP="00067742">
      <w:pPr>
        <w:numPr>
          <w:ilvl w:val="0"/>
          <w:numId w:val="8"/>
        </w:numPr>
        <w:tabs>
          <w:tab w:val="clear" w:pos="567"/>
        </w:tabs>
        <w:ind w:left="440" w:hanging="440"/>
        <w:rPr>
          <w:rFonts w:ascii="Verdana" w:hAnsi="Verdana"/>
          <w:sz w:val="20"/>
          <w:lang w:val="de-DE"/>
        </w:rPr>
      </w:pPr>
      <w:r w:rsidRPr="00067742">
        <w:rPr>
          <w:rFonts w:ascii="Verdana" w:hAnsi="Verdana"/>
          <w:sz w:val="20"/>
          <w:lang w:val="de-DE"/>
        </w:rPr>
        <w:t>Jedenfalls auch die</w:t>
      </w:r>
      <w:r>
        <w:rPr>
          <w:rFonts w:ascii="Verdana" w:hAnsi="Verdana"/>
          <w:sz w:val="20"/>
          <w:lang w:val="de-DE"/>
        </w:rPr>
        <w:t xml:space="preserve"> Gebäude erwähnen, um sicherzustellen, dass diese mitg</w:t>
      </w:r>
      <w:r>
        <w:rPr>
          <w:rFonts w:ascii="Verdana" w:hAnsi="Verdana"/>
          <w:sz w:val="20"/>
          <w:lang w:val="de-DE"/>
        </w:rPr>
        <w:t>e</w:t>
      </w:r>
      <w:r>
        <w:rPr>
          <w:rFonts w:ascii="Verdana" w:hAnsi="Verdana"/>
          <w:sz w:val="20"/>
          <w:lang w:val="de-DE"/>
        </w:rPr>
        <w:t>kauft werden und nicht – wenn sie möglicherweise als Superädifikat einem Dritten gehören – nicht einmal schuldrechtlich mitgekauft werden.</w:t>
      </w:r>
    </w:p>
    <w:p w:rsidR="00067742" w:rsidRDefault="00067742" w:rsidP="00067742">
      <w:pPr>
        <w:ind w:left="440"/>
        <w:rPr>
          <w:rFonts w:ascii="Verdana" w:hAnsi="Verdana"/>
          <w:sz w:val="20"/>
          <w:lang w:val="de-DE"/>
        </w:rPr>
      </w:pPr>
    </w:p>
    <w:p w:rsidR="00067742" w:rsidRPr="00067742" w:rsidRDefault="00067742" w:rsidP="00067742">
      <w:pPr>
        <w:numPr>
          <w:ilvl w:val="0"/>
          <w:numId w:val="8"/>
        </w:numPr>
        <w:tabs>
          <w:tab w:val="clear" w:pos="567"/>
        </w:tabs>
        <w:ind w:left="440" w:hanging="440"/>
        <w:rPr>
          <w:rFonts w:ascii="Verdana" w:hAnsi="Verdana"/>
          <w:sz w:val="20"/>
          <w:lang w:val="de-DE"/>
        </w:rPr>
      </w:pPr>
      <w:r>
        <w:rPr>
          <w:rFonts w:ascii="Verdana" w:hAnsi="Verdana"/>
          <w:sz w:val="20"/>
          <w:lang w:val="de-DE"/>
        </w:rPr>
        <w:t>Beim Kauf erst zu errichtender Gebäude ("Forward Purchase") ist auch exakt die noch vom Verkäufer zu erbringende Leistung zu beschreiben.</w:t>
      </w:r>
    </w:p>
    <w:p w:rsidR="00067742" w:rsidRDefault="00067742" w:rsidP="00067742">
      <w:pPr>
        <w:pStyle w:val="Listenabsatz"/>
        <w:ind w:left="360"/>
        <w:rPr>
          <w:rFonts w:ascii="Verdana" w:hAnsi="Verdana"/>
          <w:b/>
          <w:sz w:val="20"/>
          <w:lang w:val="de-DE"/>
        </w:rPr>
      </w:pPr>
    </w:p>
    <w:p w:rsidR="00067742" w:rsidRDefault="00067742" w:rsidP="007529A5">
      <w:pPr>
        <w:pStyle w:val="Listenabsatz"/>
        <w:numPr>
          <w:ilvl w:val="0"/>
          <w:numId w:val="13"/>
        </w:numPr>
        <w:rPr>
          <w:rFonts w:ascii="Verdana" w:hAnsi="Verdana"/>
          <w:b/>
          <w:sz w:val="20"/>
          <w:lang w:val="de-DE"/>
        </w:rPr>
      </w:pPr>
      <w:r>
        <w:rPr>
          <w:rFonts w:ascii="Verdana" w:hAnsi="Verdana"/>
          <w:b/>
          <w:sz w:val="20"/>
          <w:lang w:val="de-DE"/>
        </w:rPr>
        <w:t>KAUFPREIS</w:t>
      </w:r>
    </w:p>
    <w:p w:rsidR="00067742" w:rsidRDefault="00067742" w:rsidP="00067742">
      <w:pPr>
        <w:pStyle w:val="Listenabsatz"/>
        <w:ind w:left="360"/>
        <w:rPr>
          <w:rFonts w:ascii="Verdana" w:hAnsi="Verdana"/>
          <w:b/>
          <w:sz w:val="20"/>
          <w:lang w:val="de-DE"/>
        </w:rPr>
      </w:pPr>
    </w:p>
    <w:p w:rsidR="00067742" w:rsidRDefault="00067742" w:rsidP="00067742">
      <w:pPr>
        <w:numPr>
          <w:ilvl w:val="0"/>
          <w:numId w:val="8"/>
        </w:numPr>
        <w:tabs>
          <w:tab w:val="clear" w:pos="567"/>
        </w:tabs>
        <w:ind w:left="440" w:hanging="440"/>
        <w:rPr>
          <w:rFonts w:ascii="Verdana" w:hAnsi="Verdana"/>
          <w:sz w:val="20"/>
          <w:lang w:val="de-DE"/>
        </w:rPr>
      </w:pPr>
      <w:r w:rsidRPr="00067742">
        <w:rPr>
          <w:rFonts w:ascii="Verdana" w:hAnsi="Verdana"/>
          <w:sz w:val="20"/>
          <w:lang w:val="de-DE"/>
        </w:rPr>
        <w:t>Muss bestimmt oder bestimmbar sein.</w:t>
      </w:r>
      <w:r>
        <w:rPr>
          <w:rFonts w:ascii="Verdana" w:hAnsi="Verdana"/>
          <w:sz w:val="20"/>
          <w:lang w:val="de-DE"/>
        </w:rPr>
        <w:t xml:space="preserve"> Eine eventuelle Preisminderung kann es durchaus sinnvoll sein, in den Kaufvertrag die Berechnungsmethode mitaufz</w:t>
      </w:r>
      <w:r>
        <w:rPr>
          <w:rFonts w:ascii="Verdana" w:hAnsi="Verdana"/>
          <w:sz w:val="20"/>
          <w:lang w:val="de-DE"/>
        </w:rPr>
        <w:t>u</w:t>
      </w:r>
      <w:r>
        <w:rPr>
          <w:rFonts w:ascii="Verdana" w:hAnsi="Verdana"/>
          <w:sz w:val="20"/>
          <w:lang w:val="de-DE"/>
        </w:rPr>
        <w:t>nehmen.</w:t>
      </w:r>
    </w:p>
    <w:p w:rsidR="00067742" w:rsidRDefault="00067742" w:rsidP="00067742">
      <w:pPr>
        <w:ind w:left="440"/>
        <w:rPr>
          <w:rFonts w:ascii="Verdana" w:hAnsi="Verdana"/>
          <w:sz w:val="20"/>
          <w:lang w:val="de-DE"/>
        </w:rPr>
      </w:pPr>
    </w:p>
    <w:p w:rsidR="00067742" w:rsidRPr="00067742" w:rsidRDefault="00067742" w:rsidP="00067742">
      <w:pPr>
        <w:numPr>
          <w:ilvl w:val="0"/>
          <w:numId w:val="8"/>
        </w:numPr>
        <w:tabs>
          <w:tab w:val="clear" w:pos="567"/>
        </w:tabs>
        <w:ind w:left="440" w:hanging="440"/>
        <w:rPr>
          <w:rFonts w:ascii="Verdana" w:hAnsi="Verdana"/>
          <w:sz w:val="20"/>
          <w:lang w:val="de-DE"/>
        </w:rPr>
      </w:pPr>
      <w:r>
        <w:rPr>
          <w:rFonts w:ascii="Verdana" w:hAnsi="Verdana"/>
          <w:sz w:val="20"/>
          <w:lang w:val="de-DE"/>
        </w:rPr>
        <w:t>Beim Share Deal darauf achten, dass der Kaufpreis um die Verbindlichkeiten und die anderen Aktiva neben der Liegenschaft noch berichtigt werden muss.</w:t>
      </w:r>
    </w:p>
    <w:p w:rsidR="00067742" w:rsidRDefault="00067742" w:rsidP="00067742">
      <w:pPr>
        <w:pStyle w:val="Listenabsatz"/>
        <w:ind w:left="360"/>
        <w:rPr>
          <w:rFonts w:ascii="Verdana" w:hAnsi="Verdana"/>
          <w:b/>
          <w:sz w:val="20"/>
          <w:lang w:val="de-DE"/>
        </w:rPr>
      </w:pPr>
    </w:p>
    <w:p w:rsidR="007529A5" w:rsidRPr="00EF0ED1" w:rsidRDefault="007529A5" w:rsidP="007529A5">
      <w:pPr>
        <w:pStyle w:val="Listenabsatz"/>
        <w:numPr>
          <w:ilvl w:val="0"/>
          <w:numId w:val="13"/>
        </w:numPr>
        <w:rPr>
          <w:rFonts w:ascii="Verdana" w:hAnsi="Verdana"/>
          <w:b/>
          <w:sz w:val="20"/>
          <w:lang w:val="de-DE"/>
        </w:rPr>
      </w:pPr>
      <w:r>
        <w:rPr>
          <w:rFonts w:ascii="Verdana" w:hAnsi="Verdana"/>
          <w:b/>
          <w:sz w:val="20"/>
          <w:lang w:val="de-DE"/>
        </w:rPr>
        <w:t>ÜBERRECHNUNG DER UMSATZSTEUER</w:t>
      </w:r>
    </w:p>
    <w:p w:rsidR="007529A5" w:rsidRPr="006170DB" w:rsidRDefault="007529A5" w:rsidP="007529A5">
      <w:pPr>
        <w:rPr>
          <w:rFonts w:ascii="Verdana" w:hAnsi="Verdana"/>
          <w:sz w:val="20"/>
          <w:lang w:val="de-DE"/>
        </w:rPr>
      </w:pPr>
    </w:p>
    <w:p w:rsidR="009F4D72" w:rsidRDefault="007529A5" w:rsidP="007E01D3">
      <w:pPr>
        <w:numPr>
          <w:ilvl w:val="0"/>
          <w:numId w:val="8"/>
        </w:numPr>
        <w:tabs>
          <w:tab w:val="clear" w:pos="567"/>
        </w:tabs>
        <w:ind w:left="440" w:hanging="440"/>
        <w:rPr>
          <w:rFonts w:ascii="Verdana" w:hAnsi="Verdana"/>
          <w:sz w:val="20"/>
          <w:lang w:val="de-DE"/>
        </w:rPr>
      </w:pPr>
      <w:r>
        <w:rPr>
          <w:rFonts w:ascii="Verdana" w:hAnsi="Verdana"/>
          <w:sz w:val="20"/>
          <w:lang w:val="de-DE"/>
        </w:rPr>
        <w:t xml:space="preserve">Ist eine im UStG vorgesehene Möglichkeit, dass der Käufer die </w:t>
      </w:r>
      <w:r w:rsidR="005F1290">
        <w:rPr>
          <w:rFonts w:ascii="Verdana" w:hAnsi="Verdana"/>
          <w:sz w:val="20"/>
          <w:lang w:val="de-DE"/>
        </w:rPr>
        <w:t>Vorsteuer sich nicht am 15. des zweitfolgenden Monats vom Finanzamt auszahlen lässt, so</w:t>
      </w:r>
      <w:r w:rsidR="005F1290">
        <w:rPr>
          <w:rFonts w:ascii="Verdana" w:hAnsi="Verdana"/>
          <w:sz w:val="20"/>
          <w:lang w:val="de-DE"/>
        </w:rPr>
        <w:t>n</w:t>
      </w:r>
      <w:r w:rsidR="005F1290">
        <w:rPr>
          <w:rFonts w:ascii="Verdana" w:hAnsi="Verdana"/>
          <w:sz w:val="20"/>
          <w:lang w:val="de-DE"/>
        </w:rPr>
        <w:lastRenderedPageBreak/>
        <w:t>dern sein Vorsteuerguthaben auf das Umsatzsteuerkonto des Verkäufers, der die Umsatzsteuer am selben Tag an das Finanzamt abliefern muss, umbuchen lässt</w:t>
      </w:r>
      <w:r w:rsidR="009F4D72" w:rsidRPr="006170DB">
        <w:rPr>
          <w:rFonts w:ascii="Verdana" w:hAnsi="Verdana"/>
          <w:sz w:val="20"/>
          <w:lang w:val="de-DE"/>
        </w:rPr>
        <w:t>.</w:t>
      </w:r>
    </w:p>
    <w:p w:rsidR="002348EA" w:rsidRDefault="002348EA" w:rsidP="002348EA">
      <w:pPr>
        <w:ind w:left="440"/>
        <w:rPr>
          <w:rFonts w:ascii="Verdana" w:hAnsi="Verdana"/>
          <w:sz w:val="20"/>
          <w:lang w:val="de-DE"/>
        </w:rPr>
      </w:pPr>
    </w:p>
    <w:p w:rsidR="002348EA" w:rsidRDefault="002348EA" w:rsidP="007E01D3">
      <w:pPr>
        <w:numPr>
          <w:ilvl w:val="0"/>
          <w:numId w:val="8"/>
        </w:numPr>
        <w:tabs>
          <w:tab w:val="clear" w:pos="567"/>
        </w:tabs>
        <w:ind w:left="440" w:hanging="440"/>
        <w:rPr>
          <w:rFonts w:ascii="Verdana" w:hAnsi="Verdana"/>
          <w:sz w:val="20"/>
          <w:lang w:val="de-DE"/>
        </w:rPr>
      </w:pPr>
      <w:r>
        <w:rPr>
          <w:rFonts w:ascii="Verdana" w:hAnsi="Verdana"/>
          <w:sz w:val="20"/>
          <w:lang w:val="de-DE"/>
        </w:rPr>
        <w:t>Dadurch erspart sich der Käufer die Zurverfügungstellung liquider Mittel in H</w:t>
      </w:r>
      <w:r>
        <w:rPr>
          <w:rFonts w:ascii="Verdana" w:hAnsi="Verdana"/>
          <w:sz w:val="20"/>
          <w:lang w:val="de-DE"/>
        </w:rPr>
        <w:t>ö</w:t>
      </w:r>
      <w:r>
        <w:rPr>
          <w:rFonts w:ascii="Verdana" w:hAnsi="Verdana"/>
          <w:sz w:val="20"/>
          <w:lang w:val="de-DE"/>
        </w:rPr>
        <w:t>he der Umsatzsteuer für den Zeitraum von Kaufvertragsabschluss bis zum 15. des zweitfolgenden Monats.</w:t>
      </w:r>
    </w:p>
    <w:p w:rsidR="002348EA" w:rsidRDefault="002348EA" w:rsidP="002348EA">
      <w:pPr>
        <w:ind w:left="440"/>
        <w:rPr>
          <w:rFonts w:ascii="Verdana" w:hAnsi="Verdana"/>
          <w:sz w:val="20"/>
          <w:lang w:val="de-DE"/>
        </w:rPr>
      </w:pPr>
    </w:p>
    <w:p w:rsidR="002348EA" w:rsidRDefault="002348EA" w:rsidP="007E01D3">
      <w:pPr>
        <w:numPr>
          <w:ilvl w:val="0"/>
          <w:numId w:val="8"/>
        </w:numPr>
        <w:tabs>
          <w:tab w:val="clear" w:pos="567"/>
        </w:tabs>
        <w:ind w:left="440" w:hanging="440"/>
        <w:rPr>
          <w:rFonts w:ascii="Verdana" w:hAnsi="Verdana"/>
          <w:sz w:val="20"/>
          <w:lang w:val="de-DE"/>
        </w:rPr>
      </w:pPr>
      <w:r>
        <w:rPr>
          <w:rFonts w:ascii="Verdana" w:hAnsi="Verdana"/>
          <w:sz w:val="20"/>
          <w:lang w:val="de-DE"/>
        </w:rPr>
        <w:t>Allerdings besteht hier das Risiko, dass dann, wenn der Käufer Steuerschulden hat, die Finanz ihm den Vorsteuerbetrag nicht gutschreibt, sondern auf die Steuerschulden anrechnet. Dann hat der Käufer kein Guthaben das er auf das Steuerkonto des Verkäufers umbuchen lassen kann. Hier ist der Verkäufer dennoch verpflichtet, die Umsatzsteuer an das Finanzamt abzuführen, obwohl er diesen Teil des Kaufpreises nicht erhalten hat – er hat hier ein auch durch die Treuhandschaft nicht besichertes Risiko, dass das Eigentum an der Liege</w:t>
      </w:r>
      <w:r>
        <w:rPr>
          <w:rFonts w:ascii="Verdana" w:hAnsi="Verdana"/>
          <w:sz w:val="20"/>
          <w:lang w:val="de-DE"/>
        </w:rPr>
        <w:t>n</w:t>
      </w:r>
      <w:r>
        <w:rPr>
          <w:rFonts w:ascii="Verdana" w:hAnsi="Verdana"/>
          <w:sz w:val="20"/>
          <w:lang w:val="de-DE"/>
        </w:rPr>
        <w:t>schaft übergeht, ohne dass die Bezahlung des gesamten Kaufpreises besichert ist.</w:t>
      </w:r>
    </w:p>
    <w:p w:rsidR="002348EA" w:rsidRDefault="002348EA" w:rsidP="002348EA">
      <w:pPr>
        <w:pStyle w:val="Listenabsatz"/>
        <w:rPr>
          <w:rFonts w:ascii="Verdana" w:hAnsi="Verdana"/>
          <w:sz w:val="20"/>
          <w:lang w:val="de-DE"/>
        </w:rPr>
      </w:pPr>
    </w:p>
    <w:p w:rsidR="002348EA" w:rsidRPr="006170DB" w:rsidRDefault="002348EA" w:rsidP="007E01D3">
      <w:pPr>
        <w:numPr>
          <w:ilvl w:val="0"/>
          <w:numId w:val="8"/>
        </w:numPr>
        <w:tabs>
          <w:tab w:val="clear" w:pos="567"/>
        </w:tabs>
        <w:ind w:left="440" w:hanging="440"/>
        <w:rPr>
          <w:rFonts w:ascii="Verdana" w:hAnsi="Verdana"/>
          <w:sz w:val="20"/>
          <w:lang w:val="de-DE"/>
        </w:rPr>
      </w:pPr>
      <w:r>
        <w:rPr>
          <w:rFonts w:ascii="Verdana" w:hAnsi="Verdana"/>
          <w:sz w:val="20"/>
          <w:lang w:val="de-DE"/>
        </w:rPr>
        <w:t>Lösung ist neben der Verpflichtung des Käufers, die Umsatzsteuer bei einem Scheitern der Überrechnung zu zahlen, dass für die Umsatzsteuer eine Bankg</w:t>
      </w:r>
      <w:r>
        <w:rPr>
          <w:rFonts w:ascii="Verdana" w:hAnsi="Verdana"/>
          <w:sz w:val="20"/>
          <w:lang w:val="de-DE"/>
        </w:rPr>
        <w:t>a</w:t>
      </w:r>
      <w:r>
        <w:rPr>
          <w:rFonts w:ascii="Verdana" w:hAnsi="Verdana"/>
          <w:sz w:val="20"/>
          <w:lang w:val="de-DE"/>
        </w:rPr>
        <w:t>rantie oder ähnliche Sicherheit gegeben wird oder die Einverleibung des Eige</w:t>
      </w:r>
      <w:r>
        <w:rPr>
          <w:rFonts w:ascii="Verdana" w:hAnsi="Verdana"/>
          <w:sz w:val="20"/>
          <w:lang w:val="de-DE"/>
        </w:rPr>
        <w:t>n</w:t>
      </w:r>
      <w:r>
        <w:rPr>
          <w:rFonts w:ascii="Verdana" w:hAnsi="Verdana"/>
          <w:sz w:val="20"/>
          <w:lang w:val="de-DE"/>
        </w:rPr>
        <w:t>tumsrechts erst erfolgt, wenn die Überrechnung geklappt hat.</w:t>
      </w:r>
    </w:p>
    <w:p w:rsidR="002348EA" w:rsidRDefault="002348EA" w:rsidP="002348EA">
      <w:pPr>
        <w:ind w:left="440" w:hanging="440"/>
        <w:rPr>
          <w:rFonts w:ascii="Verdana" w:hAnsi="Verdana"/>
          <w:sz w:val="20"/>
          <w:lang w:val="de-DE"/>
        </w:rPr>
      </w:pPr>
    </w:p>
    <w:p w:rsidR="002348EA" w:rsidRPr="00EF0ED1" w:rsidRDefault="002348EA" w:rsidP="002348EA">
      <w:pPr>
        <w:pStyle w:val="Listenabsatz"/>
        <w:numPr>
          <w:ilvl w:val="0"/>
          <w:numId w:val="13"/>
        </w:numPr>
        <w:rPr>
          <w:rFonts w:ascii="Verdana" w:hAnsi="Verdana"/>
          <w:b/>
          <w:sz w:val="20"/>
          <w:lang w:val="de-DE"/>
        </w:rPr>
      </w:pPr>
      <w:r>
        <w:rPr>
          <w:rFonts w:ascii="Verdana" w:hAnsi="Verdana"/>
          <w:b/>
          <w:sz w:val="20"/>
          <w:lang w:val="de-DE"/>
        </w:rPr>
        <w:t>KONTAMINATIONEN</w:t>
      </w:r>
    </w:p>
    <w:p w:rsidR="002348EA" w:rsidRPr="006170DB" w:rsidRDefault="002348EA" w:rsidP="007E01D3">
      <w:pPr>
        <w:ind w:left="440" w:hanging="440"/>
        <w:rPr>
          <w:rFonts w:ascii="Verdana" w:hAnsi="Verdana"/>
          <w:sz w:val="20"/>
          <w:lang w:val="de-DE"/>
        </w:rPr>
      </w:pPr>
    </w:p>
    <w:p w:rsidR="009F4D72" w:rsidRDefault="002348EA" w:rsidP="00D8445C">
      <w:pPr>
        <w:rPr>
          <w:rFonts w:ascii="Verdana" w:hAnsi="Verdana"/>
          <w:sz w:val="20"/>
          <w:lang w:val="de-DE"/>
        </w:rPr>
      </w:pPr>
      <w:r>
        <w:rPr>
          <w:rFonts w:ascii="Verdana" w:hAnsi="Verdana"/>
          <w:sz w:val="20"/>
          <w:lang w:val="de-DE"/>
        </w:rPr>
        <w:t>Neben der Regelung im Mustervertrag</w:t>
      </w:r>
      <w:r w:rsidR="004F1D91">
        <w:rPr>
          <w:rFonts w:ascii="Verdana" w:hAnsi="Verdana"/>
          <w:sz w:val="20"/>
          <w:lang w:val="de-DE"/>
        </w:rPr>
        <w:t xml:space="preserve"> (Punkt 3.2.18)</w:t>
      </w:r>
      <w:r>
        <w:rPr>
          <w:rFonts w:ascii="Verdana" w:hAnsi="Verdana"/>
          <w:sz w:val="20"/>
          <w:lang w:val="de-DE"/>
        </w:rPr>
        <w:t xml:space="preserve"> sind folgende alte</w:t>
      </w:r>
      <w:r w:rsidR="00D8445C">
        <w:rPr>
          <w:rFonts w:ascii="Verdana" w:hAnsi="Verdana"/>
          <w:sz w:val="20"/>
          <w:lang w:val="de-DE"/>
        </w:rPr>
        <w:t>r</w:t>
      </w:r>
      <w:r>
        <w:rPr>
          <w:rFonts w:ascii="Verdana" w:hAnsi="Verdana"/>
          <w:sz w:val="20"/>
          <w:lang w:val="de-DE"/>
        </w:rPr>
        <w:t>native L</w:t>
      </w:r>
      <w:r>
        <w:rPr>
          <w:rFonts w:ascii="Verdana" w:hAnsi="Verdana"/>
          <w:sz w:val="20"/>
          <w:lang w:val="de-DE"/>
        </w:rPr>
        <w:t>ö</w:t>
      </w:r>
      <w:r>
        <w:rPr>
          <w:rFonts w:ascii="Verdana" w:hAnsi="Verdana"/>
          <w:sz w:val="20"/>
          <w:lang w:val="de-DE"/>
        </w:rPr>
        <w:t>sungen denkbar:</w:t>
      </w:r>
    </w:p>
    <w:p w:rsidR="00D8445C" w:rsidRDefault="00D8445C" w:rsidP="00D8445C">
      <w:pPr>
        <w:rPr>
          <w:rFonts w:ascii="Verdana" w:hAnsi="Verdana"/>
          <w:sz w:val="20"/>
          <w:lang w:val="de-DE"/>
        </w:rPr>
      </w:pPr>
    </w:p>
    <w:p w:rsidR="002348EA" w:rsidRDefault="004F1D91" w:rsidP="007E01D3">
      <w:pPr>
        <w:numPr>
          <w:ilvl w:val="0"/>
          <w:numId w:val="8"/>
        </w:numPr>
        <w:tabs>
          <w:tab w:val="clear" w:pos="567"/>
        </w:tabs>
        <w:ind w:left="440" w:hanging="440"/>
        <w:rPr>
          <w:rFonts w:ascii="Verdana" w:hAnsi="Verdana"/>
          <w:sz w:val="20"/>
          <w:lang w:val="de-DE"/>
        </w:rPr>
      </w:pPr>
      <w:r>
        <w:rPr>
          <w:rFonts w:ascii="Verdana" w:hAnsi="Verdana"/>
          <w:sz w:val="20"/>
          <w:lang w:val="de-DE"/>
        </w:rPr>
        <w:t>Haftung für die Freiheit von Kontaminationen ohne Einschränkung auf eine g</w:t>
      </w:r>
      <w:r>
        <w:rPr>
          <w:rFonts w:ascii="Verdana" w:hAnsi="Verdana"/>
          <w:sz w:val="20"/>
          <w:lang w:val="de-DE"/>
        </w:rPr>
        <w:t>e</w:t>
      </w:r>
      <w:r>
        <w:rPr>
          <w:rFonts w:ascii="Verdana" w:hAnsi="Verdana"/>
          <w:sz w:val="20"/>
          <w:lang w:val="de-DE"/>
        </w:rPr>
        <w:t>setzliche Verpflichtung des Käufers zur Beseitigung</w:t>
      </w:r>
    </w:p>
    <w:p w:rsidR="00B04723" w:rsidRPr="00B04723" w:rsidRDefault="00B04723" w:rsidP="00B04723">
      <w:pPr>
        <w:rPr>
          <w:rFonts w:ascii="Verdana" w:hAnsi="Verdana"/>
          <w:sz w:val="20"/>
          <w:lang w:val="de-DE"/>
        </w:rPr>
      </w:pPr>
    </w:p>
    <w:p w:rsidR="004F1D91" w:rsidRDefault="004F1D91" w:rsidP="007E01D3">
      <w:pPr>
        <w:numPr>
          <w:ilvl w:val="0"/>
          <w:numId w:val="8"/>
        </w:numPr>
        <w:tabs>
          <w:tab w:val="clear" w:pos="567"/>
        </w:tabs>
        <w:ind w:left="440" w:hanging="440"/>
        <w:rPr>
          <w:rFonts w:ascii="Verdana" w:hAnsi="Verdana"/>
          <w:sz w:val="20"/>
          <w:lang w:val="de-DE"/>
        </w:rPr>
      </w:pPr>
      <w:r>
        <w:rPr>
          <w:rFonts w:ascii="Verdana" w:hAnsi="Verdana"/>
          <w:sz w:val="20"/>
          <w:lang w:val="de-DE"/>
        </w:rPr>
        <w:t>Haftung für während der Dauer des Eigentums des Verkäufers von diesem oder ihm zuzurechnenden Dritten (zB von ihm beauftragten Bauunternehmern, Li</w:t>
      </w:r>
      <w:r>
        <w:rPr>
          <w:rFonts w:ascii="Verdana" w:hAnsi="Verdana"/>
          <w:sz w:val="20"/>
          <w:lang w:val="de-DE"/>
        </w:rPr>
        <w:t>e</w:t>
      </w:r>
      <w:r>
        <w:rPr>
          <w:rFonts w:ascii="Verdana" w:hAnsi="Verdana"/>
          <w:sz w:val="20"/>
          <w:lang w:val="de-DE"/>
        </w:rPr>
        <w:t xml:space="preserve">feranten, Kunden etc) verursachte Kontaminationen </w:t>
      </w:r>
    </w:p>
    <w:p w:rsidR="00B04723" w:rsidRDefault="00B04723" w:rsidP="00B04723">
      <w:pPr>
        <w:pStyle w:val="Listenabsatz"/>
        <w:rPr>
          <w:rFonts w:ascii="Verdana" w:hAnsi="Verdana"/>
          <w:sz w:val="20"/>
          <w:lang w:val="de-DE"/>
        </w:rPr>
      </w:pPr>
    </w:p>
    <w:p w:rsidR="004F1D91" w:rsidRDefault="004F1D91" w:rsidP="007E01D3">
      <w:pPr>
        <w:numPr>
          <w:ilvl w:val="0"/>
          <w:numId w:val="8"/>
        </w:numPr>
        <w:tabs>
          <w:tab w:val="clear" w:pos="567"/>
        </w:tabs>
        <w:ind w:left="440" w:hanging="440"/>
        <w:rPr>
          <w:rFonts w:ascii="Verdana" w:hAnsi="Verdana"/>
          <w:sz w:val="20"/>
          <w:lang w:val="de-DE"/>
        </w:rPr>
      </w:pPr>
      <w:r>
        <w:rPr>
          <w:rFonts w:ascii="Verdana" w:hAnsi="Verdana"/>
          <w:sz w:val="20"/>
          <w:lang w:val="de-DE"/>
        </w:rPr>
        <w:t>Haftung dafür, dass der Verkäufer oder ihm zuzurechnende Personen (nur G</w:t>
      </w:r>
      <w:r>
        <w:rPr>
          <w:rFonts w:ascii="Verdana" w:hAnsi="Verdana"/>
          <w:sz w:val="20"/>
          <w:lang w:val="de-DE"/>
        </w:rPr>
        <w:t>e</w:t>
      </w:r>
      <w:r>
        <w:rPr>
          <w:rFonts w:ascii="Verdana" w:hAnsi="Verdana"/>
          <w:sz w:val="20"/>
          <w:lang w:val="de-DE"/>
        </w:rPr>
        <w:t xml:space="preserve">schäftsführer oder auch sonstige Dritte?) </w:t>
      </w:r>
      <w:r w:rsidR="00B04723">
        <w:rPr>
          <w:rFonts w:ascii="Verdana" w:hAnsi="Verdana"/>
          <w:sz w:val="20"/>
          <w:lang w:val="de-DE"/>
        </w:rPr>
        <w:t>keine Kenntnis von durch wen immer verursachten Kontaminationen haben</w:t>
      </w:r>
    </w:p>
    <w:p w:rsidR="00B04723" w:rsidRDefault="00B04723" w:rsidP="00B04723">
      <w:pPr>
        <w:pStyle w:val="Listenabsatz"/>
        <w:rPr>
          <w:rFonts w:ascii="Verdana" w:hAnsi="Verdana"/>
          <w:sz w:val="20"/>
          <w:lang w:val="de-DE"/>
        </w:rPr>
      </w:pPr>
    </w:p>
    <w:p w:rsidR="00B04723" w:rsidRDefault="00B04723" w:rsidP="007E01D3">
      <w:pPr>
        <w:numPr>
          <w:ilvl w:val="0"/>
          <w:numId w:val="8"/>
        </w:numPr>
        <w:tabs>
          <w:tab w:val="clear" w:pos="567"/>
        </w:tabs>
        <w:ind w:left="440" w:hanging="440"/>
        <w:rPr>
          <w:rFonts w:ascii="Verdana" w:hAnsi="Verdana"/>
          <w:sz w:val="20"/>
          <w:lang w:val="de-DE"/>
        </w:rPr>
      </w:pPr>
      <w:r>
        <w:rPr>
          <w:rFonts w:ascii="Verdana" w:hAnsi="Verdana"/>
          <w:sz w:val="20"/>
          <w:lang w:val="de-DE"/>
        </w:rPr>
        <w:t>Hinweis auf die auf der Liegenschaft erfolgten Tätigkeiten (zB zu Beginn des 20. Jahrhunderts als Lackfabrik verwendet) und Zurverfügungstellung eines Gutachtens mit einem Haftungsausschluss</w:t>
      </w:r>
    </w:p>
    <w:p w:rsidR="00B04723" w:rsidRDefault="00B04723" w:rsidP="00B04723">
      <w:pPr>
        <w:pStyle w:val="Listenabsatz"/>
        <w:rPr>
          <w:rFonts w:ascii="Verdana" w:hAnsi="Verdana"/>
          <w:sz w:val="20"/>
          <w:lang w:val="de-DE"/>
        </w:rPr>
      </w:pPr>
    </w:p>
    <w:p w:rsidR="00B04723" w:rsidRDefault="00B04723" w:rsidP="007E01D3">
      <w:pPr>
        <w:numPr>
          <w:ilvl w:val="0"/>
          <w:numId w:val="8"/>
        </w:numPr>
        <w:tabs>
          <w:tab w:val="clear" w:pos="567"/>
        </w:tabs>
        <w:ind w:left="440" w:hanging="440"/>
        <w:rPr>
          <w:rFonts w:ascii="Verdana" w:hAnsi="Verdana"/>
          <w:sz w:val="20"/>
          <w:lang w:val="de-DE"/>
        </w:rPr>
      </w:pPr>
      <w:r>
        <w:rPr>
          <w:rFonts w:ascii="Verdana" w:hAnsi="Verdana"/>
          <w:sz w:val="20"/>
          <w:lang w:val="de-DE"/>
        </w:rPr>
        <w:t>Ermöglichen, dass der Käufer vor Vertragsabschluss die Liegenschaft besichtigt und Bodenuntersuchungen macht, mit einem Haftungsausschluss</w:t>
      </w:r>
    </w:p>
    <w:p w:rsidR="00B04723" w:rsidRDefault="00B04723" w:rsidP="00B04723">
      <w:pPr>
        <w:pStyle w:val="Listenabsatz"/>
        <w:rPr>
          <w:rFonts w:ascii="Verdana" w:hAnsi="Verdana"/>
          <w:sz w:val="20"/>
          <w:lang w:val="de-DE"/>
        </w:rPr>
      </w:pPr>
    </w:p>
    <w:p w:rsidR="00B04723" w:rsidRDefault="00B04723" w:rsidP="007E01D3">
      <w:pPr>
        <w:numPr>
          <w:ilvl w:val="0"/>
          <w:numId w:val="8"/>
        </w:numPr>
        <w:tabs>
          <w:tab w:val="clear" w:pos="567"/>
        </w:tabs>
        <w:ind w:left="440" w:hanging="440"/>
        <w:rPr>
          <w:rFonts w:ascii="Verdana" w:hAnsi="Verdana"/>
          <w:sz w:val="20"/>
          <w:lang w:val="de-DE"/>
        </w:rPr>
      </w:pPr>
      <w:r>
        <w:rPr>
          <w:rFonts w:ascii="Verdana" w:hAnsi="Verdana"/>
          <w:sz w:val="20"/>
          <w:lang w:val="de-DE"/>
        </w:rPr>
        <w:t>Haftungsausschlüsse sind immer kritisch in Hinblick auf § 879 ABGB zu hinte</w:t>
      </w:r>
      <w:r>
        <w:rPr>
          <w:rFonts w:ascii="Verdana" w:hAnsi="Verdana"/>
          <w:sz w:val="20"/>
          <w:lang w:val="de-DE"/>
        </w:rPr>
        <w:t>r</w:t>
      </w:r>
      <w:r>
        <w:rPr>
          <w:rFonts w:ascii="Verdana" w:hAnsi="Verdana"/>
          <w:sz w:val="20"/>
          <w:lang w:val="de-DE"/>
        </w:rPr>
        <w:t>fragen – gänzliche Haftungsausschlüsse in vielen Fällen sittenwidrig</w:t>
      </w:r>
    </w:p>
    <w:p w:rsidR="00864419" w:rsidRDefault="00864419" w:rsidP="00864419">
      <w:pPr>
        <w:rPr>
          <w:rFonts w:ascii="Verdana" w:hAnsi="Verdana"/>
          <w:sz w:val="20"/>
          <w:lang w:val="de-DE"/>
        </w:rPr>
      </w:pPr>
    </w:p>
    <w:sectPr w:rsidR="00864419" w:rsidSect="006170D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D1" w:rsidRDefault="00EF0ED1">
      <w:r>
        <w:separator/>
      </w:r>
    </w:p>
  </w:endnote>
  <w:endnote w:type="continuationSeparator" w:id="0">
    <w:p w:rsidR="00EF0ED1" w:rsidRDefault="00E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A" w:rsidRDefault="001A31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A" w:rsidRDefault="001A31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A" w:rsidRDefault="001A31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D1" w:rsidRDefault="00EF0ED1">
      <w:r>
        <w:separator/>
      </w:r>
    </w:p>
  </w:footnote>
  <w:footnote w:type="continuationSeparator" w:id="0">
    <w:p w:rsidR="00EF0ED1" w:rsidRDefault="00EF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D1" w:rsidRDefault="00A40984">
    <w:pPr>
      <w:framePr w:wrap="around" w:vAnchor="text" w:hAnchor="margin" w:xAlign="center" w:y="1"/>
    </w:pPr>
    <w:r>
      <w:fldChar w:fldCharType="begin"/>
    </w:r>
    <w:r>
      <w:instrText xml:space="preserve">PAGE  </w:instrText>
    </w:r>
    <w:r>
      <w:fldChar w:fldCharType="separate"/>
    </w:r>
    <w:r w:rsidR="00EF0ED1">
      <w:rPr>
        <w:noProof/>
      </w:rPr>
      <w:t>1</w:t>
    </w:r>
    <w:r>
      <w:rPr>
        <w:noProof/>
      </w:rPr>
      <w:fldChar w:fldCharType="end"/>
    </w:r>
  </w:p>
  <w:p w:rsidR="00EF0ED1" w:rsidRDefault="00EF0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D1" w:rsidRPr="006170DB" w:rsidRDefault="00EF0ED1">
    <w:pPr>
      <w:jc w:val="center"/>
      <w:rPr>
        <w:rFonts w:ascii="Verdana" w:hAnsi="Verdana"/>
        <w:sz w:val="20"/>
      </w:rPr>
    </w:pPr>
    <w:r w:rsidRPr="006170DB">
      <w:rPr>
        <w:rFonts w:ascii="Verdana" w:hAnsi="Verdana"/>
        <w:snapToGrid w:val="0"/>
        <w:sz w:val="20"/>
      </w:rPr>
      <w:t xml:space="preserve">- </w:t>
    </w:r>
    <w:r w:rsidR="00D51652" w:rsidRPr="006170DB">
      <w:rPr>
        <w:rFonts w:ascii="Verdana" w:hAnsi="Verdana"/>
        <w:snapToGrid w:val="0"/>
        <w:sz w:val="20"/>
      </w:rPr>
      <w:fldChar w:fldCharType="begin"/>
    </w:r>
    <w:r w:rsidRPr="006170DB">
      <w:rPr>
        <w:rFonts w:ascii="Verdana" w:hAnsi="Verdana"/>
        <w:snapToGrid w:val="0"/>
        <w:sz w:val="20"/>
      </w:rPr>
      <w:instrText xml:space="preserve"> PAGE </w:instrText>
    </w:r>
    <w:r w:rsidR="00D51652" w:rsidRPr="006170DB">
      <w:rPr>
        <w:rFonts w:ascii="Verdana" w:hAnsi="Verdana"/>
        <w:snapToGrid w:val="0"/>
        <w:sz w:val="20"/>
      </w:rPr>
      <w:fldChar w:fldCharType="separate"/>
    </w:r>
    <w:r w:rsidR="00E67150">
      <w:rPr>
        <w:rFonts w:ascii="Verdana" w:hAnsi="Verdana"/>
        <w:noProof/>
        <w:snapToGrid w:val="0"/>
        <w:sz w:val="20"/>
      </w:rPr>
      <w:t>2</w:t>
    </w:r>
    <w:r w:rsidR="00D51652" w:rsidRPr="006170DB">
      <w:rPr>
        <w:rFonts w:ascii="Verdana" w:hAnsi="Verdana"/>
        <w:snapToGrid w:val="0"/>
        <w:sz w:val="20"/>
      </w:rPr>
      <w:fldChar w:fldCharType="end"/>
    </w:r>
    <w:r w:rsidRPr="006170DB">
      <w:rPr>
        <w:rFonts w:ascii="Verdana" w:hAnsi="Verdana"/>
        <w:snapToGrid w:val="0"/>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A" w:rsidRDefault="001A31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
      <w:lvlText w:val="%1.%2.%3.%4."/>
      <w:lvlJc w:val="left"/>
      <w:pPr>
        <w:tabs>
          <w:tab w:val="num" w:pos="1080"/>
        </w:tabs>
        <w:ind w:left="567" w:hanging="567"/>
      </w:pPr>
      <w:rPr>
        <w:rFonts w:ascii="Arial" w:hAnsi="Arial" w:hint="default"/>
        <w:b w:val="0"/>
        <w:i/>
        <w:sz w:val="22"/>
      </w:rPr>
    </w:lvl>
    <w:lvl w:ilvl="4">
      <w:start w:val="1"/>
      <w:numFmt w:val="decimal"/>
      <w:pStyle w:val="berschrift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3">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4">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7">
    <w:nsid w:val="69006480"/>
    <w:multiLevelType w:val="multilevel"/>
    <w:tmpl w:val="7DD6F462"/>
    <w:lvl w:ilvl="0">
      <w:start w:val="1"/>
      <w:numFmt w:val="decimal"/>
      <w:pStyle w:val="berschrift1"/>
      <w:lvlText w:val="%1."/>
      <w:lvlJc w:val="left"/>
      <w:pPr>
        <w:tabs>
          <w:tab w:val="num" w:pos="567"/>
        </w:tabs>
        <w:ind w:left="567" w:hanging="567"/>
      </w:pPr>
      <w:rPr>
        <w:rFonts w:ascii="Arial" w:hAnsi="Arial" w:hint="default"/>
        <w:b/>
        <w:i w:val="0"/>
        <w:sz w:val="22"/>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8">
    <w:nsid w:val="6B30620E"/>
    <w:multiLevelType w:val="hybridMultilevel"/>
    <w:tmpl w:val="E458C7D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7FC45901"/>
    <w:multiLevelType w:val="hybridMultilevel"/>
    <w:tmpl w:val="A642DF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7"/>
  </w:num>
  <w:num w:numId="5">
    <w:abstractNumId w:val="7"/>
  </w:num>
  <w:num w:numId="6">
    <w:abstractNumId w:val="2"/>
  </w:num>
  <w:num w:numId="7">
    <w:abstractNumId w:val="2"/>
  </w:num>
  <w:num w:numId="8">
    <w:abstractNumId w:val="0"/>
  </w:num>
  <w:num w:numId="9">
    <w:abstractNumId w:val="1"/>
  </w:num>
  <w:num w:numId="10">
    <w:abstractNumId w:val="4"/>
  </w:num>
  <w:num w:numId="11">
    <w:abstractNumId w:val="5"/>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E0BFDD-3BAE-4407-84C3-B19756F6FD32}"/>
    <w:docVar w:name="dgnword-eventsink" w:val="612146888"/>
  </w:docVars>
  <w:rsids>
    <w:rsidRoot w:val="00891EFB"/>
    <w:rsid w:val="00006948"/>
    <w:rsid w:val="00024D42"/>
    <w:rsid w:val="00040A59"/>
    <w:rsid w:val="00067742"/>
    <w:rsid w:val="00081E0F"/>
    <w:rsid w:val="000A239C"/>
    <w:rsid w:val="000D70A6"/>
    <w:rsid w:val="000E30E2"/>
    <w:rsid w:val="000F3FAF"/>
    <w:rsid w:val="00105E89"/>
    <w:rsid w:val="00116249"/>
    <w:rsid w:val="00167809"/>
    <w:rsid w:val="00167E2B"/>
    <w:rsid w:val="00183FB6"/>
    <w:rsid w:val="001A31BA"/>
    <w:rsid w:val="001C26CB"/>
    <w:rsid w:val="001E35D3"/>
    <w:rsid w:val="00211CDB"/>
    <w:rsid w:val="0021458B"/>
    <w:rsid w:val="00221FD5"/>
    <w:rsid w:val="002348EA"/>
    <w:rsid w:val="00243080"/>
    <w:rsid w:val="0026774F"/>
    <w:rsid w:val="0029052B"/>
    <w:rsid w:val="002B560F"/>
    <w:rsid w:val="002C3D5F"/>
    <w:rsid w:val="002E4582"/>
    <w:rsid w:val="00307A70"/>
    <w:rsid w:val="0032373E"/>
    <w:rsid w:val="003245DC"/>
    <w:rsid w:val="003A193C"/>
    <w:rsid w:val="003B2F45"/>
    <w:rsid w:val="00404DBF"/>
    <w:rsid w:val="004161A1"/>
    <w:rsid w:val="00437B3E"/>
    <w:rsid w:val="004436EC"/>
    <w:rsid w:val="00454F7C"/>
    <w:rsid w:val="00462250"/>
    <w:rsid w:val="004748A4"/>
    <w:rsid w:val="00476478"/>
    <w:rsid w:val="004C041A"/>
    <w:rsid w:val="004C0EF0"/>
    <w:rsid w:val="004C495A"/>
    <w:rsid w:val="004E3900"/>
    <w:rsid w:val="004F1D91"/>
    <w:rsid w:val="004F7DF4"/>
    <w:rsid w:val="005328F7"/>
    <w:rsid w:val="005551C8"/>
    <w:rsid w:val="005A1709"/>
    <w:rsid w:val="005C22BF"/>
    <w:rsid w:val="005D4FB3"/>
    <w:rsid w:val="005F1290"/>
    <w:rsid w:val="005F4FAC"/>
    <w:rsid w:val="006170DB"/>
    <w:rsid w:val="00653DBD"/>
    <w:rsid w:val="006540D2"/>
    <w:rsid w:val="00673157"/>
    <w:rsid w:val="00685D07"/>
    <w:rsid w:val="006B01A3"/>
    <w:rsid w:val="00706DCA"/>
    <w:rsid w:val="00720EF5"/>
    <w:rsid w:val="00751BF4"/>
    <w:rsid w:val="007529A5"/>
    <w:rsid w:val="00753315"/>
    <w:rsid w:val="0078269F"/>
    <w:rsid w:val="00792A7F"/>
    <w:rsid w:val="007E01D3"/>
    <w:rsid w:val="007F419D"/>
    <w:rsid w:val="0081545B"/>
    <w:rsid w:val="0083039C"/>
    <w:rsid w:val="00864419"/>
    <w:rsid w:val="00891EFB"/>
    <w:rsid w:val="008A412D"/>
    <w:rsid w:val="008F0589"/>
    <w:rsid w:val="00905670"/>
    <w:rsid w:val="00912B84"/>
    <w:rsid w:val="009142F6"/>
    <w:rsid w:val="00964279"/>
    <w:rsid w:val="009868AE"/>
    <w:rsid w:val="009D2CFD"/>
    <w:rsid w:val="009E2F5B"/>
    <w:rsid w:val="009E63D8"/>
    <w:rsid w:val="009F4D72"/>
    <w:rsid w:val="00A4004F"/>
    <w:rsid w:val="00A40984"/>
    <w:rsid w:val="00A50DED"/>
    <w:rsid w:val="00A8527F"/>
    <w:rsid w:val="00AE4774"/>
    <w:rsid w:val="00B04723"/>
    <w:rsid w:val="00B1087A"/>
    <w:rsid w:val="00B11CBA"/>
    <w:rsid w:val="00B12784"/>
    <w:rsid w:val="00B36A32"/>
    <w:rsid w:val="00B415C5"/>
    <w:rsid w:val="00B605DD"/>
    <w:rsid w:val="00B61799"/>
    <w:rsid w:val="00BA5616"/>
    <w:rsid w:val="00BC04C1"/>
    <w:rsid w:val="00BE23BC"/>
    <w:rsid w:val="00C05BE2"/>
    <w:rsid w:val="00C348EB"/>
    <w:rsid w:val="00C93AC6"/>
    <w:rsid w:val="00CD63EC"/>
    <w:rsid w:val="00CF5118"/>
    <w:rsid w:val="00D155E1"/>
    <w:rsid w:val="00D31B84"/>
    <w:rsid w:val="00D357B0"/>
    <w:rsid w:val="00D51652"/>
    <w:rsid w:val="00D7443C"/>
    <w:rsid w:val="00D8445C"/>
    <w:rsid w:val="00D85FEB"/>
    <w:rsid w:val="00D9076E"/>
    <w:rsid w:val="00DB5AF6"/>
    <w:rsid w:val="00DD33BE"/>
    <w:rsid w:val="00DE780D"/>
    <w:rsid w:val="00DF3314"/>
    <w:rsid w:val="00E11FB4"/>
    <w:rsid w:val="00E220CF"/>
    <w:rsid w:val="00E67150"/>
    <w:rsid w:val="00E87A8E"/>
    <w:rsid w:val="00EA2185"/>
    <w:rsid w:val="00EB0A5B"/>
    <w:rsid w:val="00EB6E2B"/>
    <w:rsid w:val="00EC72BD"/>
    <w:rsid w:val="00EE1525"/>
    <w:rsid w:val="00EE49AC"/>
    <w:rsid w:val="00EE4DA0"/>
    <w:rsid w:val="00EF0ED1"/>
    <w:rsid w:val="00F1312E"/>
    <w:rsid w:val="00F16CBE"/>
    <w:rsid w:val="00FA1E44"/>
    <w:rsid w:val="00FE27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458B"/>
    <w:pPr>
      <w:spacing w:line="280" w:lineRule="atLeast"/>
      <w:jc w:val="both"/>
    </w:pPr>
    <w:rPr>
      <w:rFonts w:ascii="Arial" w:hAnsi="Arial"/>
      <w:sz w:val="22"/>
      <w:lang w:eastAsia="de-DE"/>
    </w:rPr>
  </w:style>
  <w:style w:type="paragraph" w:styleId="berschrift1">
    <w:name w:val="heading 1"/>
    <w:basedOn w:val="Standard"/>
    <w:next w:val="Standard"/>
    <w:qFormat/>
    <w:rsid w:val="0021458B"/>
    <w:pPr>
      <w:keepNext/>
      <w:numPr>
        <w:numId w:val="3"/>
      </w:numPr>
      <w:tabs>
        <w:tab w:val="clear" w:pos="567"/>
        <w:tab w:val="num" w:pos="851"/>
      </w:tabs>
      <w:spacing w:after="330"/>
      <w:ind w:left="851" w:hanging="851"/>
      <w:jc w:val="left"/>
      <w:outlineLvl w:val="0"/>
    </w:pPr>
    <w:rPr>
      <w:b/>
    </w:rPr>
  </w:style>
  <w:style w:type="paragraph" w:styleId="berschrift2">
    <w:name w:val="heading 2"/>
    <w:basedOn w:val="Standard"/>
    <w:next w:val="Standard"/>
    <w:qFormat/>
    <w:rsid w:val="0021458B"/>
    <w:pPr>
      <w:keepNext/>
      <w:numPr>
        <w:ilvl w:val="1"/>
        <w:numId w:val="4"/>
      </w:numPr>
      <w:tabs>
        <w:tab w:val="clear" w:pos="567"/>
        <w:tab w:val="num" w:pos="851"/>
      </w:tabs>
      <w:spacing w:after="330"/>
      <w:ind w:left="851" w:hanging="851"/>
      <w:jc w:val="left"/>
      <w:outlineLvl w:val="1"/>
    </w:pPr>
    <w:rPr>
      <w:b/>
    </w:rPr>
  </w:style>
  <w:style w:type="paragraph" w:styleId="berschrift3">
    <w:name w:val="heading 3"/>
    <w:basedOn w:val="Standard"/>
    <w:next w:val="Standard"/>
    <w:qFormat/>
    <w:rsid w:val="0021458B"/>
    <w:pPr>
      <w:keepNext/>
      <w:numPr>
        <w:ilvl w:val="2"/>
        <w:numId w:val="5"/>
      </w:numPr>
      <w:tabs>
        <w:tab w:val="clear" w:pos="567"/>
        <w:tab w:val="num" w:pos="851"/>
      </w:tabs>
      <w:spacing w:after="330"/>
      <w:ind w:left="851" w:hanging="851"/>
      <w:jc w:val="left"/>
      <w:outlineLvl w:val="2"/>
    </w:pPr>
    <w:rPr>
      <w:rFonts w:cs="Arial"/>
      <w:bCs/>
      <w:szCs w:val="26"/>
    </w:rPr>
  </w:style>
  <w:style w:type="paragraph" w:styleId="berschrift4">
    <w:name w:val="heading 4"/>
    <w:basedOn w:val="Standard"/>
    <w:next w:val="Standard"/>
    <w:qFormat/>
    <w:rsid w:val="0021458B"/>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berschrift5">
    <w:name w:val="heading 5"/>
    <w:basedOn w:val="berschrift4"/>
    <w:next w:val="Standard"/>
    <w:qFormat/>
    <w:rsid w:val="0021458B"/>
    <w:pPr>
      <w:numPr>
        <w:ilvl w:val="4"/>
        <w:numId w:val="7"/>
      </w:numPr>
      <w:tabs>
        <w:tab w:val="clear" w:pos="56"/>
        <w:tab w:val="num" w:pos="1080"/>
      </w:tabs>
      <w:ind w:left="851" w:hanging="851"/>
      <w:outlineLvl w:val="4"/>
    </w:pPr>
    <w:rPr>
      <w:bCs w:val="0"/>
      <w:iCs/>
      <w:szCs w:val="26"/>
    </w:rPr>
  </w:style>
  <w:style w:type="paragraph" w:styleId="berschrift6">
    <w:name w:val="heading 6"/>
    <w:basedOn w:val="Standard"/>
    <w:qFormat/>
    <w:rsid w:val="0021458B"/>
    <w:pPr>
      <w:numPr>
        <w:ilvl w:val="5"/>
        <w:numId w:val="1"/>
      </w:numPr>
      <w:jc w:val="left"/>
      <w:outlineLvl w:val="5"/>
    </w:pPr>
    <w:rPr>
      <w:bCs/>
      <w:szCs w:val="22"/>
    </w:rPr>
  </w:style>
  <w:style w:type="paragraph" w:styleId="berschrift7">
    <w:name w:val="heading 7"/>
    <w:basedOn w:val="Standard"/>
    <w:next w:val="Standard"/>
    <w:qFormat/>
    <w:rsid w:val="0021458B"/>
    <w:pPr>
      <w:numPr>
        <w:ilvl w:val="6"/>
        <w:numId w:val="1"/>
      </w:numPr>
      <w:spacing w:before="240" w:after="60"/>
      <w:jc w:val="left"/>
      <w:outlineLvl w:val="6"/>
    </w:pPr>
    <w:rPr>
      <w:szCs w:val="24"/>
    </w:rPr>
  </w:style>
  <w:style w:type="paragraph" w:styleId="berschrift8">
    <w:name w:val="heading 8"/>
    <w:basedOn w:val="Standard"/>
    <w:next w:val="Standard"/>
    <w:qFormat/>
    <w:rsid w:val="0021458B"/>
    <w:pPr>
      <w:numPr>
        <w:ilvl w:val="7"/>
        <w:numId w:val="1"/>
      </w:numPr>
      <w:spacing w:before="240" w:after="60"/>
      <w:jc w:val="left"/>
      <w:outlineLvl w:val="7"/>
    </w:pPr>
    <w:rPr>
      <w:iCs/>
      <w:szCs w:val="24"/>
    </w:rPr>
  </w:style>
  <w:style w:type="paragraph" w:styleId="berschrift9">
    <w:name w:val="heading 9"/>
    <w:basedOn w:val="Standard"/>
    <w:next w:val="Standard"/>
    <w:qFormat/>
    <w:rsid w:val="0021458B"/>
    <w:pPr>
      <w:numPr>
        <w:ilvl w:val="8"/>
        <w:numId w:val="1"/>
      </w:numPr>
      <w:spacing w:before="240" w:after="60"/>
      <w:jc w:val="lef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1458B"/>
    <w:pPr>
      <w:tabs>
        <w:tab w:val="center" w:pos="4536"/>
        <w:tab w:val="right" w:pos="9072"/>
      </w:tabs>
      <w:spacing w:line="360" w:lineRule="auto"/>
    </w:pPr>
    <w:rPr>
      <w:sz w:val="26"/>
    </w:rPr>
  </w:style>
  <w:style w:type="paragraph" w:styleId="Kopfzeile">
    <w:name w:val="header"/>
    <w:basedOn w:val="Standard"/>
    <w:rsid w:val="0021458B"/>
    <w:pPr>
      <w:tabs>
        <w:tab w:val="center" w:pos="4819"/>
        <w:tab w:val="right" w:pos="9071"/>
      </w:tabs>
      <w:spacing w:line="360" w:lineRule="auto"/>
    </w:pPr>
    <w:rPr>
      <w:sz w:val="26"/>
    </w:rPr>
  </w:style>
  <w:style w:type="paragraph" w:styleId="Dokumentstruktur">
    <w:name w:val="Document Map"/>
    <w:basedOn w:val="Standard"/>
    <w:semiHidden/>
    <w:rsid w:val="0021458B"/>
    <w:pPr>
      <w:shd w:val="clear" w:color="auto" w:fill="000080"/>
    </w:pPr>
    <w:rPr>
      <w:rFonts w:ascii="Tahoma" w:hAnsi="Tahoma"/>
    </w:rPr>
  </w:style>
  <w:style w:type="paragraph" w:customStyle="1" w:styleId="Text1Num">
    <w:name w:val="Text 1 Num"/>
    <w:basedOn w:val="berschrift1"/>
    <w:rsid w:val="0021458B"/>
    <w:pPr>
      <w:keepNext w:val="0"/>
      <w:numPr>
        <w:numId w:val="2"/>
      </w:numPr>
      <w:tabs>
        <w:tab w:val="clear" w:pos="567"/>
        <w:tab w:val="num" w:pos="851"/>
      </w:tabs>
      <w:ind w:left="851" w:hanging="851"/>
      <w:jc w:val="both"/>
    </w:pPr>
    <w:rPr>
      <w:b w:val="0"/>
    </w:rPr>
  </w:style>
  <w:style w:type="paragraph" w:customStyle="1" w:styleId="Text2num">
    <w:name w:val="Text 2 num"/>
    <w:basedOn w:val="Standard"/>
    <w:rsid w:val="0021458B"/>
    <w:pPr>
      <w:tabs>
        <w:tab w:val="left" w:pos="567"/>
      </w:tabs>
      <w:spacing w:after="330"/>
      <w:ind w:left="425" w:hanging="425"/>
    </w:pPr>
  </w:style>
  <w:style w:type="paragraph" w:customStyle="1" w:styleId="Text3Num">
    <w:name w:val="Text 3 Num"/>
    <w:basedOn w:val="Text2num"/>
    <w:rsid w:val="0021458B"/>
    <w:pPr>
      <w:ind w:left="567" w:hanging="567"/>
    </w:pPr>
  </w:style>
  <w:style w:type="paragraph" w:customStyle="1" w:styleId="Text4Num">
    <w:name w:val="Text 4 Num"/>
    <w:basedOn w:val="Text2num"/>
    <w:rsid w:val="0021458B"/>
    <w:pPr>
      <w:tabs>
        <w:tab w:val="clear" w:pos="567"/>
      </w:tabs>
      <w:ind w:left="709" w:hanging="709"/>
    </w:pPr>
  </w:style>
  <w:style w:type="paragraph" w:customStyle="1" w:styleId="Text5Num">
    <w:name w:val="Text 5 Num"/>
    <w:basedOn w:val="Text2num"/>
    <w:rsid w:val="0021458B"/>
    <w:pPr>
      <w:tabs>
        <w:tab w:val="clear" w:pos="567"/>
      </w:tabs>
      <w:ind w:left="851" w:hanging="851"/>
    </w:pPr>
  </w:style>
  <w:style w:type="paragraph" w:styleId="Verzeichnis1">
    <w:name w:val="toc 1"/>
    <w:basedOn w:val="Standard"/>
    <w:next w:val="Standard"/>
    <w:autoRedefine/>
    <w:semiHidden/>
    <w:rsid w:val="0021458B"/>
    <w:pPr>
      <w:tabs>
        <w:tab w:val="left" w:pos="440"/>
        <w:tab w:val="right" w:leader="dot" w:pos="9060"/>
      </w:tabs>
    </w:pPr>
    <w:rPr>
      <w:b/>
      <w:caps/>
      <w:noProof/>
      <w:szCs w:val="22"/>
    </w:rPr>
  </w:style>
  <w:style w:type="paragraph" w:styleId="Verzeichnis2">
    <w:name w:val="toc 2"/>
    <w:basedOn w:val="Standard"/>
    <w:next w:val="Standard"/>
    <w:autoRedefine/>
    <w:semiHidden/>
    <w:rsid w:val="0021458B"/>
    <w:pPr>
      <w:tabs>
        <w:tab w:val="left" w:pos="990"/>
        <w:tab w:val="right" w:leader="dot" w:pos="9060"/>
      </w:tabs>
      <w:ind w:left="440"/>
    </w:pPr>
    <w:rPr>
      <w:b/>
      <w:noProof/>
    </w:rPr>
  </w:style>
  <w:style w:type="paragraph" w:styleId="Verzeichnis3">
    <w:name w:val="toc 3"/>
    <w:basedOn w:val="Standard"/>
    <w:next w:val="Standard"/>
    <w:autoRedefine/>
    <w:semiHidden/>
    <w:rsid w:val="0021458B"/>
    <w:pPr>
      <w:tabs>
        <w:tab w:val="right" w:leader="dot" w:pos="9060"/>
      </w:tabs>
      <w:ind w:left="1650" w:hanging="660"/>
    </w:pPr>
    <w:rPr>
      <w:noProof/>
      <w:szCs w:val="22"/>
    </w:rPr>
  </w:style>
  <w:style w:type="paragraph" w:styleId="Verzeichnis4">
    <w:name w:val="toc 4"/>
    <w:basedOn w:val="Standard"/>
    <w:next w:val="Standard"/>
    <w:autoRedefine/>
    <w:semiHidden/>
    <w:rsid w:val="0021458B"/>
    <w:pPr>
      <w:tabs>
        <w:tab w:val="left" w:pos="2618"/>
        <w:tab w:val="right" w:leader="dot" w:pos="9060"/>
      </w:tabs>
      <w:ind w:left="2534" w:hanging="884"/>
    </w:pPr>
    <w:rPr>
      <w:i/>
      <w:noProof/>
      <w:szCs w:val="22"/>
    </w:rPr>
  </w:style>
  <w:style w:type="paragraph" w:styleId="Verzeichnis5">
    <w:name w:val="toc 5"/>
    <w:basedOn w:val="Standard"/>
    <w:next w:val="Standard"/>
    <w:autoRedefine/>
    <w:semiHidden/>
    <w:rsid w:val="0021458B"/>
    <w:pPr>
      <w:tabs>
        <w:tab w:val="left" w:pos="2420"/>
        <w:tab w:val="right" w:pos="9061"/>
      </w:tabs>
      <w:ind w:left="3542" w:hanging="1064"/>
    </w:pPr>
    <w:rPr>
      <w:i/>
      <w:noProof/>
      <w:szCs w:val="22"/>
    </w:rPr>
  </w:style>
  <w:style w:type="character" w:styleId="Hyperlink">
    <w:name w:val="Hyperlink"/>
    <w:basedOn w:val="Absatz-Standardschriftart"/>
    <w:rsid w:val="00AE4774"/>
    <w:rPr>
      <w:color w:val="0000FF"/>
      <w:u w:val="single"/>
    </w:rPr>
  </w:style>
  <w:style w:type="paragraph" w:styleId="Sprechblasentext">
    <w:name w:val="Balloon Text"/>
    <w:basedOn w:val="Standard"/>
    <w:link w:val="SprechblasentextZchn"/>
    <w:rsid w:val="006170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170DB"/>
    <w:rPr>
      <w:rFonts w:ascii="Tahoma" w:hAnsi="Tahoma" w:cs="Tahoma"/>
      <w:sz w:val="16"/>
      <w:szCs w:val="16"/>
      <w:lang w:eastAsia="de-DE"/>
    </w:rPr>
  </w:style>
  <w:style w:type="paragraph" w:styleId="Listenabsatz">
    <w:name w:val="List Paragraph"/>
    <w:basedOn w:val="Standard"/>
    <w:uiPriority w:val="34"/>
    <w:qFormat/>
    <w:rsid w:val="00864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458B"/>
    <w:pPr>
      <w:spacing w:line="280" w:lineRule="atLeast"/>
      <w:jc w:val="both"/>
    </w:pPr>
    <w:rPr>
      <w:rFonts w:ascii="Arial" w:hAnsi="Arial"/>
      <w:sz w:val="22"/>
      <w:lang w:eastAsia="de-DE"/>
    </w:rPr>
  </w:style>
  <w:style w:type="paragraph" w:styleId="berschrift1">
    <w:name w:val="heading 1"/>
    <w:basedOn w:val="Standard"/>
    <w:next w:val="Standard"/>
    <w:qFormat/>
    <w:rsid w:val="0021458B"/>
    <w:pPr>
      <w:keepNext/>
      <w:numPr>
        <w:numId w:val="3"/>
      </w:numPr>
      <w:tabs>
        <w:tab w:val="clear" w:pos="567"/>
        <w:tab w:val="num" w:pos="851"/>
      </w:tabs>
      <w:spacing w:after="330"/>
      <w:ind w:left="851" w:hanging="851"/>
      <w:jc w:val="left"/>
      <w:outlineLvl w:val="0"/>
    </w:pPr>
    <w:rPr>
      <w:b/>
    </w:rPr>
  </w:style>
  <w:style w:type="paragraph" w:styleId="berschrift2">
    <w:name w:val="heading 2"/>
    <w:basedOn w:val="Standard"/>
    <w:next w:val="Standard"/>
    <w:qFormat/>
    <w:rsid w:val="0021458B"/>
    <w:pPr>
      <w:keepNext/>
      <w:numPr>
        <w:ilvl w:val="1"/>
        <w:numId w:val="4"/>
      </w:numPr>
      <w:tabs>
        <w:tab w:val="clear" w:pos="567"/>
        <w:tab w:val="num" w:pos="851"/>
      </w:tabs>
      <w:spacing w:after="330"/>
      <w:ind w:left="851" w:hanging="851"/>
      <w:jc w:val="left"/>
      <w:outlineLvl w:val="1"/>
    </w:pPr>
    <w:rPr>
      <w:b/>
    </w:rPr>
  </w:style>
  <w:style w:type="paragraph" w:styleId="berschrift3">
    <w:name w:val="heading 3"/>
    <w:basedOn w:val="Standard"/>
    <w:next w:val="Standard"/>
    <w:qFormat/>
    <w:rsid w:val="0021458B"/>
    <w:pPr>
      <w:keepNext/>
      <w:numPr>
        <w:ilvl w:val="2"/>
        <w:numId w:val="5"/>
      </w:numPr>
      <w:tabs>
        <w:tab w:val="clear" w:pos="567"/>
        <w:tab w:val="num" w:pos="851"/>
      </w:tabs>
      <w:spacing w:after="330"/>
      <w:ind w:left="851" w:hanging="851"/>
      <w:jc w:val="left"/>
      <w:outlineLvl w:val="2"/>
    </w:pPr>
    <w:rPr>
      <w:rFonts w:cs="Arial"/>
      <w:bCs/>
      <w:szCs w:val="26"/>
    </w:rPr>
  </w:style>
  <w:style w:type="paragraph" w:styleId="berschrift4">
    <w:name w:val="heading 4"/>
    <w:basedOn w:val="Standard"/>
    <w:next w:val="Standard"/>
    <w:qFormat/>
    <w:rsid w:val="0021458B"/>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berschrift5">
    <w:name w:val="heading 5"/>
    <w:basedOn w:val="berschrift4"/>
    <w:next w:val="Standard"/>
    <w:qFormat/>
    <w:rsid w:val="0021458B"/>
    <w:pPr>
      <w:numPr>
        <w:ilvl w:val="4"/>
        <w:numId w:val="7"/>
      </w:numPr>
      <w:tabs>
        <w:tab w:val="clear" w:pos="56"/>
        <w:tab w:val="num" w:pos="1080"/>
      </w:tabs>
      <w:ind w:left="851" w:hanging="851"/>
      <w:outlineLvl w:val="4"/>
    </w:pPr>
    <w:rPr>
      <w:bCs w:val="0"/>
      <w:iCs/>
      <w:szCs w:val="26"/>
    </w:rPr>
  </w:style>
  <w:style w:type="paragraph" w:styleId="berschrift6">
    <w:name w:val="heading 6"/>
    <w:basedOn w:val="Standard"/>
    <w:qFormat/>
    <w:rsid w:val="0021458B"/>
    <w:pPr>
      <w:numPr>
        <w:ilvl w:val="5"/>
        <w:numId w:val="1"/>
      </w:numPr>
      <w:jc w:val="left"/>
      <w:outlineLvl w:val="5"/>
    </w:pPr>
    <w:rPr>
      <w:bCs/>
      <w:szCs w:val="22"/>
    </w:rPr>
  </w:style>
  <w:style w:type="paragraph" w:styleId="berschrift7">
    <w:name w:val="heading 7"/>
    <w:basedOn w:val="Standard"/>
    <w:next w:val="Standard"/>
    <w:qFormat/>
    <w:rsid w:val="0021458B"/>
    <w:pPr>
      <w:numPr>
        <w:ilvl w:val="6"/>
        <w:numId w:val="1"/>
      </w:numPr>
      <w:spacing w:before="240" w:after="60"/>
      <w:jc w:val="left"/>
      <w:outlineLvl w:val="6"/>
    </w:pPr>
    <w:rPr>
      <w:szCs w:val="24"/>
    </w:rPr>
  </w:style>
  <w:style w:type="paragraph" w:styleId="berschrift8">
    <w:name w:val="heading 8"/>
    <w:basedOn w:val="Standard"/>
    <w:next w:val="Standard"/>
    <w:qFormat/>
    <w:rsid w:val="0021458B"/>
    <w:pPr>
      <w:numPr>
        <w:ilvl w:val="7"/>
        <w:numId w:val="1"/>
      </w:numPr>
      <w:spacing w:before="240" w:after="60"/>
      <w:jc w:val="left"/>
      <w:outlineLvl w:val="7"/>
    </w:pPr>
    <w:rPr>
      <w:iCs/>
      <w:szCs w:val="24"/>
    </w:rPr>
  </w:style>
  <w:style w:type="paragraph" w:styleId="berschrift9">
    <w:name w:val="heading 9"/>
    <w:basedOn w:val="Standard"/>
    <w:next w:val="Standard"/>
    <w:qFormat/>
    <w:rsid w:val="0021458B"/>
    <w:pPr>
      <w:numPr>
        <w:ilvl w:val="8"/>
        <w:numId w:val="1"/>
      </w:numPr>
      <w:spacing w:before="240" w:after="60"/>
      <w:jc w:val="lef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1458B"/>
    <w:pPr>
      <w:tabs>
        <w:tab w:val="center" w:pos="4536"/>
        <w:tab w:val="right" w:pos="9072"/>
      </w:tabs>
      <w:spacing w:line="360" w:lineRule="auto"/>
    </w:pPr>
    <w:rPr>
      <w:sz w:val="26"/>
    </w:rPr>
  </w:style>
  <w:style w:type="paragraph" w:styleId="Kopfzeile">
    <w:name w:val="header"/>
    <w:basedOn w:val="Standard"/>
    <w:rsid w:val="0021458B"/>
    <w:pPr>
      <w:tabs>
        <w:tab w:val="center" w:pos="4819"/>
        <w:tab w:val="right" w:pos="9071"/>
      </w:tabs>
      <w:spacing w:line="360" w:lineRule="auto"/>
    </w:pPr>
    <w:rPr>
      <w:sz w:val="26"/>
    </w:rPr>
  </w:style>
  <w:style w:type="paragraph" w:styleId="Dokumentstruktur">
    <w:name w:val="Document Map"/>
    <w:basedOn w:val="Standard"/>
    <w:semiHidden/>
    <w:rsid w:val="0021458B"/>
    <w:pPr>
      <w:shd w:val="clear" w:color="auto" w:fill="000080"/>
    </w:pPr>
    <w:rPr>
      <w:rFonts w:ascii="Tahoma" w:hAnsi="Tahoma"/>
    </w:rPr>
  </w:style>
  <w:style w:type="paragraph" w:customStyle="1" w:styleId="Text1Num">
    <w:name w:val="Text 1 Num"/>
    <w:basedOn w:val="berschrift1"/>
    <w:rsid w:val="0021458B"/>
    <w:pPr>
      <w:keepNext w:val="0"/>
      <w:numPr>
        <w:numId w:val="2"/>
      </w:numPr>
      <w:tabs>
        <w:tab w:val="clear" w:pos="567"/>
        <w:tab w:val="num" w:pos="851"/>
      </w:tabs>
      <w:ind w:left="851" w:hanging="851"/>
      <w:jc w:val="both"/>
    </w:pPr>
    <w:rPr>
      <w:b w:val="0"/>
    </w:rPr>
  </w:style>
  <w:style w:type="paragraph" w:customStyle="1" w:styleId="Text2num">
    <w:name w:val="Text 2 num"/>
    <w:basedOn w:val="Standard"/>
    <w:rsid w:val="0021458B"/>
    <w:pPr>
      <w:tabs>
        <w:tab w:val="left" w:pos="567"/>
      </w:tabs>
      <w:spacing w:after="330"/>
      <w:ind w:left="425" w:hanging="425"/>
    </w:pPr>
  </w:style>
  <w:style w:type="paragraph" w:customStyle="1" w:styleId="Text3Num">
    <w:name w:val="Text 3 Num"/>
    <w:basedOn w:val="Text2num"/>
    <w:rsid w:val="0021458B"/>
    <w:pPr>
      <w:ind w:left="567" w:hanging="567"/>
    </w:pPr>
  </w:style>
  <w:style w:type="paragraph" w:customStyle="1" w:styleId="Text4Num">
    <w:name w:val="Text 4 Num"/>
    <w:basedOn w:val="Text2num"/>
    <w:rsid w:val="0021458B"/>
    <w:pPr>
      <w:tabs>
        <w:tab w:val="clear" w:pos="567"/>
      </w:tabs>
      <w:ind w:left="709" w:hanging="709"/>
    </w:pPr>
  </w:style>
  <w:style w:type="paragraph" w:customStyle="1" w:styleId="Text5Num">
    <w:name w:val="Text 5 Num"/>
    <w:basedOn w:val="Text2num"/>
    <w:rsid w:val="0021458B"/>
    <w:pPr>
      <w:tabs>
        <w:tab w:val="clear" w:pos="567"/>
      </w:tabs>
      <w:ind w:left="851" w:hanging="851"/>
    </w:pPr>
  </w:style>
  <w:style w:type="paragraph" w:styleId="Verzeichnis1">
    <w:name w:val="toc 1"/>
    <w:basedOn w:val="Standard"/>
    <w:next w:val="Standard"/>
    <w:autoRedefine/>
    <w:semiHidden/>
    <w:rsid w:val="0021458B"/>
    <w:pPr>
      <w:tabs>
        <w:tab w:val="left" w:pos="440"/>
        <w:tab w:val="right" w:leader="dot" w:pos="9060"/>
      </w:tabs>
    </w:pPr>
    <w:rPr>
      <w:b/>
      <w:caps/>
      <w:noProof/>
      <w:szCs w:val="22"/>
    </w:rPr>
  </w:style>
  <w:style w:type="paragraph" w:styleId="Verzeichnis2">
    <w:name w:val="toc 2"/>
    <w:basedOn w:val="Standard"/>
    <w:next w:val="Standard"/>
    <w:autoRedefine/>
    <w:semiHidden/>
    <w:rsid w:val="0021458B"/>
    <w:pPr>
      <w:tabs>
        <w:tab w:val="left" w:pos="990"/>
        <w:tab w:val="right" w:leader="dot" w:pos="9060"/>
      </w:tabs>
      <w:ind w:left="440"/>
    </w:pPr>
    <w:rPr>
      <w:b/>
      <w:noProof/>
    </w:rPr>
  </w:style>
  <w:style w:type="paragraph" w:styleId="Verzeichnis3">
    <w:name w:val="toc 3"/>
    <w:basedOn w:val="Standard"/>
    <w:next w:val="Standard"/>
    <w:autoRedefine/>
    <w:semiHidden/>
    <w:rsid w:val="0021458B"/>
    <w:pPr>
      <w:tabs>
        <w:tab w:val="right" w:leader="dot" w:pos="9060"/>
      </w:tabs>
      <w:ind w:left="1650" w:hanging="660"/>
    </w:pPr>
    <w:rPr>
      <w:noProof/>
      <w:szCs w:val="22"/>
    </w:rPr>
  </w:style>
  <w:style w:type="paragraph" w:styleId="Verzeichnis4">
    <w:name w:val="toc 4"/>
    <w:basedOn w:val="Standard"/>
    <w:next w:val="Standard"/>
    <w:autoRedefine/>
    <w:semiHidden/>
    <w:rsid w:val="0021458B"/>
    <w:pPr>
      <w:tabs>
        <w:tab w:val="left" w:pos="2618"/>
        <w:tab w:val="right" w:leader="dot" w:pos="9060"/>
      </w:tabs>
      <w:ind w:left="2534" w:hanging="884"/>
    </w:pPr>
    <w:rPr>
      <w:i/>
      <w:noProof/>
      <w:szCs w:val="22"/>
    </w:rPr>
  </w:style>
  <w:style w:type="paragraph" w:styleId="Verzeichnis5">
    <w:name w:val="toc 5"/>
    <w:basedOn w:val="Standard"/>
    <w:next w:val="Standard"/>
    <w:autoRedefine/>
    <w:semiHidden/>
    <w:rsid w:val="0021458B"/>
    <w:pPr>
      <w:tabs>
        <w:tab w:val="left" w:pos="2420"/>
        <w:tab w:val="right" w:pos="9061"/>
      </w:tabs>
      <w:ind w:left="3542" w:hanging="1064"/>
    </w:pPr>
    <w:rPr>
      <w:i/>
      <w:noProof/>
      <w:szCs w:val="22"/>
    </w:rPr>
  </w:style>
  <w:style w:type="character" w:styleId="Hyperlink">
    <w:name w:val="Hyperlink"/>
    <w:basedOn w:val="Absatz-Standardschriftart"/>
    <w:rsid w:val="00AE4774"/>
    <w:rPr>
      <w:color w:val="0000FF"/>
      <w:u w:val="single"/>
    </w:rPr>
  </w:style>
  <w:style w:type="paragraph" w:styleId="Sprechblasentext">
    <w:name w:val="Balloon Text"/>
    <w:basedOn w:val="Standard"/>
    <w:link w:val="SprechblasentextZchn"/>
    <w:rsid w:val="006170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170DB"/>
    <w:rPr>
      <w:rFonts w:ascii="Tahoma" w:hAnsi="Tahoma" w:cs="Tahoma"/>
      <w:sz w:val="16"/>
      <w:szCs w:val="16"/>
      <w:lang w:eastAsia="de-DE"/>
    </w:rPr>
  </w:style>
  <w:style w:type="paragraph" w:styleId="Listenabsatz">
    <w:name w:val="List Paragraph"/>
    <w:basedOn w:val="Standard"/>
    <w:uiPriority w:val="34"/>
    <w:qFormat/>
    <w:rsid w:val="0086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creator>Schönherr Rechtsanwälte GmbH</dc:creator>
  <cp:lastModifiedBy>Natalie Monsberger</cp:lastModifiedBy>
  <cp:revision>2</cp:revision>
  <cp:lastPrinted>2016-12-12T15:05:00Z</cp:lastPrinted>
  <dcterms:created xsi:type="dcterms:W3CDTF">2018-01-03T12:26:00Z</dcterms:created>
  <dcterms:modified xsi:type="dcterms:W3CDTF">2018-01-03T12:26:00Z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M13415758/1</vt:lpwstr>
  </property>
  <property fmtid="{D5CDD505-2E9C-101B-9397-08002B2CF9AE}" pid="3" name="WS_REF_OLD">
    <vt:lpwstr>M12139095/1</vt:lpwstr>
  </property>
</Properties>
</file>