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2" w:rsidRDefault="00B1087A" w:rsidP="009E5DC3">
      <w:pPr>
        <w:spacing w:after="240"/>
        <w:jc w:val="center"/>
        <w:rPr>
          <w:rFonts w:ascii="Verdana" w:hAnsi="Verdana"/>
          <w:b/>
          <w:sz w:val="20"/>
          <w:lang w:val="de-DE"/>
        </w:rPr>
      </w:pPr>
      <w:r w:rsidRPr="006170DB">
        <w:rPr>
          <w:rFonts w:ascii="Verdana" w:hAnsi="Verdana"/>
          <w:b/>
          <w:sz w:val="20"/>
          <w:lang w:val="de-DE"/>
        </w:rPr>
        <w:t>VORLESUNG</w:t>
      </w:r>
      <w:r w:rsidR="002E4582" w:rsidRPr="006170DB">
        <w:rPr>
          <w:rFonts w:ascii="Verdana" w:hAnsi="Verdana"/>
          <w:b/>
          <w:sz w:val="20"/>
          <w:lang w:val="de-DE"/>
        </w:rPr>
        <w:t xml:space="preserve"> </w:t>
      </w:r>
      <w:r w:rsidR="009E5DC3">
        <w:rPr>
          <w:rFonts w:ascii="Verdana" w:hAnsi="Verdana"/>
          <w:b/>
          <w:sz w:val="20"/>
          <w:lang w:val="de-DE"/>
        </w:rPr>
        <w:t>1</w:t>
      </w:r>
      <w:r w:rsidR="008016A1">
        <w:rPr>
          <w:rFonts w:ascii="Verdana" w:hAnsi="Verdana"/>
          <w:b/>
          <w:sz w:val="20"/>
          <w:lang w:val="de-DE"/>
        </w:rPr>
        <w:t>5</w:t>
      </w:r>
      <w:r w:rsidR="002E4582" w:rsidRPr="006170DB">
        <w:rPr>
          <w:rFonts w:ascii="Verdana" w:hAnsi="Verdana"/>
          <w:b/>
          <w:sz w:val="20"/>
          <w:lang w:val="de-DE"/>
        </w:rPr>
        <w:t>.1</w:t>
      </w:r>
      <w:r w:rsidR="009E5DC3">
        <w:rPr>
          <w:rFonts w:ascii="Verdana" w:hAnsi="Verdana"/>
          <w:b/>
          <w:sz w:val="20"/>
          <w:lang w:val="de-DE"/>
        </w:rPr>
        <w:t>0</w:t>
      </w:r>
      <w:r w:rsidR="002E4582" w:rsidRPr="006170DB">
        <w:rPr>
          <w:rFonts w:ascii="Verdana" w:hAnsi="Verdana"/>
          <w:b/>
          <w:sz w:val="20"/>
          <w:lang w:val="de-DE"/>
        </w:rPr>
        <w:t>.20</w:t>
      </w:r>
      <w:r w:rsidR="00706DCA" w:rsidRPr="006170DB">
        <w:rPr>
          <w:rFonts w:ascii="Verdana" w:hAnsi="Verdana"/>
          <w:b/>
          <w:sz w:val="20"/>
          <w:lang w:val="de-DE"/>
        </w:rPr>
        <w:t>1</w:t>
      </w:r>
      <w:r w:rsidR="008016A1">
        <w:rPr>
          <w:rFonts w:ascii="Verdana" w:hAnsi="Verdana"/>
          <w:b/>
          <w:sz w:val="20"/>
          <w:lang w:val="de-DE"/>
        </w:rPr>
        <w:t>8</w:t>
      </w:r>
    </w:p>
    <w:p w:rsidR="009E5DC3" w:rsidRPr="006170DB" w:rsidRDefault="009E5DC3" w:rsidP="009E5DC3">
      <w:pPr>
        <w:spacing w:after="240"/>
        <w:jc w:val="center"/>
        <w:rPr>
          <w:rFonts w:ascii="Verdana" w:hAnsi="Verdana"/>
          <w:b/>
          <w:sz w:val="20"/>
          <w:lang w:val="de-DE"/>
        </w:rPr>
      </w:pPr>
    </w:p>
    <w:p w:rsidR="00AE4774" w:rsidRPr="00EF0ED1" w:rsidRDefault="00AE4774" w:rsidP="009E5DC3">
      <w:pPr>
        <w:pStyle w:val="ListParagraph"/>
        <w:numPr>
          <w:ilvl w:val="0"/>
          <w:numId w:val="13"/>
        </w:numPr>
        <w:spacing w:before="240" w:after="60"/>
        <w:ind w:left="426" w:hanging="426"/>
        <w:rPr>
          <w:rFonts w:ascii="Verdana" w:hAnsi="Verdana"/>
          <w:b/>
          <w:sz w:val="20"/>
          <w:lang w:val="de-DE"/>
        </w:rPr>
      </w:pPr>
      <w:r w:rsidRPr="00EF0ED1">
        <w:rPr>
          <w:rFonts w:ascii="Verdana" w:hAnsi="Verdana"/>
          <w:b/>
          <w:sz w:val="20"/>
          <w:lang w:val="de-DE"/>
        </w:rPr>
        <w:t>WIRTSCHAFTLICHE ANSÄTZE</w:t>
      </w:r>
      <w:r w:rsidR="00D155E1" w:rsidRPr="00EF0ED1">
        <w:rPr>
          <w:rFonts w:ascii="Verdana" w:hAnsi="Verdana"/>
          <w:b/>
          <w:sz w:val="20"/>
          <w:lang w:val="de-DE"/>
        </w:rPr>
        <w:t xml:space="preserve"> EINES DEVELOPERS</w:t>
      </w:r>
    </w:p>
    <w:p w:rsidR="00AE4774" w:rsidRPr="006170DB" w:rsidRDefault="00D155E1"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Der Unternehmer</w:t>
      </w:r>
      <w:r w:rsidR="00E220CF" w:rsidRPr="006170DB">
        <w:rPr>
          <w:rFonts w:ascii="Verdana" w:hAnsi="Verdana"/>
          <w:sz w:val="20"/>
          <w:lang w:val="de-DE"/>
        </w:rPr>
        <w:t>,</w:t>
      </w:r>
      <w:r w:rsidRPr="006170DB">
        <w:rPr>
          <w:rFonts w:ascii="Verdana" w:hAnsi="Verdana"/>
          <w:sz w:val="20"/>
          <w:lang w:val="de-DE"/>
        </w:rPr>
        <w:t xml:space="preserve"> der eine Immobilie als Investment kauft, kauft im Gegensatz zum Privaten stets die erwartete R</w:t>
      </w:r>
      <w:r w:rsidR="00E220CF" w:rsidRPr="006170DB">
        <w:rPr>
          <w:rFonts w:ascii="Verdana" w:hAnsi="Verdana"/>
          <w:sz w:val="20"/>
          <w:lang w:val="de-DE"/>
        </w:rPr>
        <w:t>e</w:t>
      </w:r>
      <w:r w:rsidRPr="006170DB">
        <w:rPr>
          <w:rFonts w:ascii="Verdana" w:hAnsi="Verdana"/>
          <w:sz w:val="20"/>
          <w:lang w:val="de-DE"/>
        </w:rPr>
        <w:t>ndit</w:t>
      </w:r>
      <w:r w:rsidR="001C26CB" w:rsidRPr="006170DB">
        <w:rPr>
          <w:rFonts w:ascii="Verdana" w:hAnsi="Verdana"/>
          <w:sz w:val="20"/>
          <w:lang w:val="de-DE"/>
        </w:rPr>
        <w:t>e</w:t>
      </w:r>
      <w:r w:rsidR="006170DB">
        <w:rPr>
          <w:rFonts w:ascii="Verdana" w:hAnsi="Verdana"/>
          <w:sz w:val="20"/>
          <w:lang w:val="de-DE"/>
        </w:rPr>
        <w:t>.</w:t>
      </w:r>
    </w:p>
    <w:p w:rsidR="009F4D72" w:rsidRPr="006170DB" w:rsidRDefault="004E583A"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E</w:t>
      </w:r>
      <w:r w:rsidR="009F4D72" w:rsidRPr="006170DB">
        <w:rPr>
          <w:rFonts w:ascii="Verdana" w:hAnsi="Verdana"/>
          <w:sz w:val="20"/>
          <w:lang w:val="de-DE"/>
        </w:rPr>
        <w:t xml:space="preserve">s </w:t>
      </w:r>
      <w:r>
        <w:rPr>
          <w:rFonts w:ascii="Verdana" w:hAnsi="Verdana"/>
          <w:sz w:val="20"/>
          <w:lang w:val="de-DE"/>
        </w:rPr>
        <w:t xml:space="preserve">ist </w:t>
      </w:r>
      <w:r w:rsidR="009F4D72" w:rsidRPr="006170DB">
        <w:rPr>
          <w:rFonts w:ascii="Verdana" w:hAnsi="Verdana"/>
          <w:sz w:val="20"/>
          <w:lang w:val="de-DE"/>
        </w:rPr>
        <w:t>üblich,</w:t>
      </w:r>
      <w:r>
        <w:rPr>
          <w:rFonts w:ascii="Verdana" w:hAnsi="Verdana"/>
          <w:sz w:val="20"/>
          <w:lang w:val="de-DE"/>
        </w:rPr>
        <w:t xml:space="preserve"> entweder</w:t>
      </w:r>
      <w:r w:rsidR="009F4D72" w:rsidRPr="006170DB">
        <w:rPr>
          <w:rFonts w:ascii="Verdana" w:hAnsi="Verdana"/>
          <w:sz w:val="20"/>
          <w:lang w:val="de-DE"/>
        </w:rPr>
        <w:t xml:space="preserve"> die Formulierung </w:t>
      </w:r>
      <w:r w:rsidR="009E63D8">
        <w:rPr>
          <w:rFonts w:ascii="Verdana" w:hAnsi="Verdana"/>
          <w:sz w:val="20"/>
          <w:lang w:val="de-DE"/>
        </w:rPr>
        <w:t>"</w:t>
      </w:r>
      <w:r w:rsidR="009F4D72" w:rsidRPr="006170DB">
        <w:rPr>
          <w:rFonts w:ascii="Verdana" w:hAnsi="Verdana"/>
          <w:sz w:val="20"/>
          <w:lang w:val="de-DE"/>
        </w:rPr>
        <w:t>ich kaufe zum x-fachen der Jahresmiete</w:t>
      </w:r>
      <w:r w:rsidR="009E63D8">
        <w:rPr>
          <w:rFonts w:ascii="Verdana" w:hAnsi="Verdana"/>
          <w:sz w:val="20"/>
          <w:lang w:val="de-DE"/>
        </w:rPr>
        <w:t xml:space="preserve"> </w:t>
      </w:r>
      <w:r w:rsidR="009F4D72" w:rsidRPr="006170DB">
        <w:rPr>
          <w:rFonts w:ascii="Verdana" w:hAnsi="Verdana"/>
          <w:sz w:val="20"/>
          <w:lang w:val="de-DE"/>
        </w:rPr>
        <w:t>...</w:t>
      </w:r>
      <w:r w:rsidR="009E63D8">
        <w:rPr>
          <w:rFonts w:ascii="Verdana" w:hAnsi="Verdana"/>
          <w:sz w:val="20"/>
          <w:lang w:val="de-DE"/>
        </w:rPr>
        <w:t>"</w:t>
      </w:r>
      <w:r w:rsidR="009F4D72" w:rsidRPr="006170DB">
        <w:rPr>
          <w:rFonts w:ascii="Verdana" w:hAnsi="Verdana"/>
          <w:sz w:val="20"/>
          <w:lang w:val="de-DE"/>
        </w:rPr>
        <w:t xml:space="preserve"> </w:t>
      </w:r>
      <w:r w:rsidR="005551C8" w:rsidRPr="006170DB">
        <w:rPr>
          <w:rFonts w:ascii="Verdana" w:hAnsi="Verdana"/>
          <w:sz w:val="20"/>
          <w:lang w:val="de-DE"/>
        </w:rPr>
        <w:t>(höherer Multiplikator = höherer Kaufpreis)</w:t>
      </w:r>
      <w:r>
        <w:rPr>
          <w:rFonts w:ascii="Verdana" w:hAnsi="Verdana"/>
          <w:sz w:val="20"/>
          <w:lang w:val="de-DE"/>
        </w:rPr>
        <w:t xml:space="preserve"> oder die</w:t>
      </w:r>
      <w:r w:rsidR="009F4D72" w:rsidRPr="006170DB">
        <w:rPr>
          <w:rFonts w:ascii="Verdana" w:hAnsi="Verdana"/>
          <w:sz w:val="20"/>
          <w:lang w:val="de-DE"/>
        </w:rPr>
        <w:t xml:space="preserve"> Formulierung </w:t>
      </w:r>
      <w:r w:rsidR="009E63D8">
        <w:rPr>
          <w:rFonts w:ascii="Verdana" w:hAnsi="Verdana"/>
          <w:sz w:val="20"/>
          <w:lang w:val="de-DE"/>
        </w:rPr>
        <w:t>"</w:t>
      </w:r>
      <w:r w:rsidR="009F4D72" w:rsidRPr="006170DB">
        <w:rPr>
          <w:rFonts w:ascii="Verdana" w:hAnsi="Verdana"/>
          <w:sz w:val="20"/>
          <w:lang w:val="de-DE"/>
        </w:rPr>
        <w:t xml:space="preserve">Ich kaufe das </w:t>
      </w:r>
      <w:r w:rsidR="00EA2185">
        <w:rPr>
          <w:rFonts w:ascii="Verdana" w:hAnsi="Verdana"/>
          <w:sz w:val="20"/>
          <w:lang w:val="de-DE"/>
        </w:rPr>
        <w:t>Objekt</w:t>
      </w:r>
      <w:r w:rsidR="009F4D72" w:rsidRPr="006170DB">
        <w:rPr>
          <w:rFonts w:ascii="Verdana" w:hAnsi="Verdana"/>
          <w:sz w:val="20"/>
          <w:lang w:val="de-DE"/>
        </w:rPr>
        <w:t xml:space="preserve"> zu </w:t>
      </w:r>
      <w:r w:rsidR="00751BF4" w:rsidRPr="006170DB">
        <w:rPr>
          <w:rFonts w:ascii="Verdana" w:hAnsi="Verdana"/>
          <w:sz w:val="20"/>
          <w:lang w:val="de-DE"/>
        </w:rPr>
        <w:t>x</w:t>
      </w:r>
      <w:r w:rsidR="009F4D72" w:rsidRPr="006170DB">
        <w:rPr>
          <w:rFonts w:ascii="Verdana" w:hAnsi="Verdana"/>
          <w:sz w:val="20"/>
          <w:lang w:val="de-DE"/>
        </w:rPr>
        <w:t xml:space="preserve"> % </w:t>
      </w:r>
      <w:r w:rsidR="00E220CF" w:rsidRPr="006170DB">
        <w:rPr>
          <w:rFonts w:ascii="Verdana" w:hAnsi="Verdana"/>
          <w:sz w:val="20"/>
          <w:lang w:val="de-DE"/>
        </w:rPr>
        <w:t>Rendite</w:t>
      </w:r>
      <w:r w:rsidR="006170DB">
        <w:rPr>
          <w:rFonts w:ascii="Verdana" w:hAnsi="Verdana"/>
          <w:sz w:val="20"/>
          <w:lang w:val="de-DE"/>
        </w:rPr>
        <w:t xml:space="preserve"> </w:t>
      </w:r>
      <w:r w:rsidR="009F4D72" w:rsidRPr="006170DB">
        <w:rPr>
          <w:rFonts w:ascii="Verdana" w:hAnsi="Verdana"/>
          <w:sz w:val="20"/>
          <w:lang w:val="de-DE"/>
        </w:rPr>
        <w:t>...</w:t>
      </w:r>
      <w:r w:rsidR="009E63D8">
        <w:rPr>
          <w:rFonts w:ascii="Verdana" w:hAnsi="Verdana"/>
          <w:sz w:val="20"/>
          <w:lang w:val="de-DE"/>
        </w:rPr>
        <w:t>"</w:t>
      </w:r>
      <w:r w:rsidR="005551C8" w:rsidRPr="006170DB">
        <w:rPr>
          <w:rFonts w:ascii="Verdana" w:hAnsi="Verdana"/>
          <w:sz w:val="20"/>
          <w:lang w:val="de-DE"/>
        </w:rPr>
        <w:t xml:space="preserve"> (höherer Prozentsatz = niedrigerer Kaufpreis)</w:t>
      </w:r>
      <w:r w:rsidRPr="004E583A">
        <w:rPr>
          <w:rFonts w:ascii="Verdana" w:hAnsi="Verdana"/>
          <w:sz w:val="20"/>
          <w:lang w:val="de-DE"/>
        </w:rPr>
        <w:t xml:space="preserve"> </w:t>
      </w:r>
      <w:r w:rsidRPr="006170DB">
        <w:rPr>
          <w:rFonts w:ascii="Verdana" w:hAnsi="Verdana"/>
          <w:sz w:val="20"/>
          <w:lang w:val="de-DE"/>
        </w:rPr>
        <w:t>zu verwenden</w:t>
      </w:r>
      <w:r>
        <w:rPr>
          <w:rFonts w:ascii="Verdana" w:hAnsi="Verdana"/>
          <w:sz w:val="20"/>
          <w:lang w:val="de-DE"/>
        </w:rPr>
        <w:t>, um den Kaufpreis zu umschreiben. Die Rendite ist auch ein Indikator für einen (Teil-)Markt.</w:t>
      </w:r>
    </w:p>
    <w:p w:rsidR="009F4D72" w:rsidRDefault="009F4D72"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Aus der Summe der erwarteten </w:t>
      </w:r>
      <w:r w:rsidR="00FE2758">
        <w:rPr>
          <w:rFonts w:ascii="Verdana" w:hAnsi="Verdana"/>
          <w:sz w:val="20"/>
          <w:lang w:val="de-DE"/>
        </w:rPr>
        <w:t xml:space="preserve">jährlichen </w:t>
      </w:r>
      <w:r w:rsidRPr="006170DB">
        <w:rPr>
          <w:rFonts w:ascii="Verdana" w:hAnsi="Verdana"/>
          <w:sz w:val="20"/>
          <w:lang w:val="de-DE"/>
        </w:rPr>
        <w:t xml:space="preserve">Mieterträge und der vom Unternehmer verlangten </w:t>
      </w:r>
      <w:r w:rsidR="00E220CF" w:rsidRPr="006170DB">
        <w:rPr>
          <w:rFonts w:ascii="Verdana" w:hAnsi="Verdana"/>
          <w:sz w:val="20"/>
          <w:lang w:val="de-DE"/>
        </w:rPr>
        <w:t>Rendite</w:t>
      </w:r>
      <w:r w:rsidRPr="006170DB">
        <w:rPr>
          <w:rFonts w:ascii="Verdana" w:hAnsi="Verdana"/>
          <w:sz w:val="20"/>
          <w:lang w:val="de-DE"/>
        </w:rPr>
        <w:t xml:space="preserve"> lässt sich dann der Kaufpreis berechnen, den der Unternehmer als Käufer zu zahlen bereit ist</w:t>
      </w:r>
      <w:r w:rsidR="006170DB">
        <w:rPr>
          <w:rFonts w:ascii="Verdana" w:hAnsi="Verdana"/>
          <w:sz w:val="20"/>
          <w:lang w:val="de-DE"/>
        </w:rPr>
        <w:t xml:space="preserve"> (</w:t>
      </w:r>
      <w:r w:rsidR="00FE2758">
        <w:rPr>
          <w:rFonts w:ascii="Verdana" w:hAnsi="Verdana"/>
          <w:sz w:val="20"/>
          <w:lang w:val="de-DE"/>
        </w:rPr>
        <w:t xml:space="preserve">jährliche </w:t>
      </w:r>
      <w:r w:rsidR="006170DB">
        <w:rPr>
          <w:rFonts w:ascii="Verdana" w:hAnsi="Verdana"/>
          <w:sz w:val="20"/>
          <w:lang w:val="de-DE"/>
        </w:rPr>
        <w:t>Mieterträge durch Renditeprozentsatz mal 100)</w:t>
      </w:r>
      <w:r w:rsidRPr="006170DB">
        <w:rPr>
          <w:rFonts w:ascii="Verdana" w:hAnsi="Verdana"/>
          <w:sz w:val="20"/>
          <w:lang w:val="de-DE"/>
        </w:rPr>
        <w:t xml:space="preserve">. </w:t>
      </w:r>
      <w:r w:rsidR="00864419">
        <w:rPr>
          <w:rFonts w:ascii="Verdana" w:hAnsi="Verdana"/>
          <w:sz w:val="20"/>
          <w:lang w:val="de-DE"/>
        </w:rPr>
        <w:t>Bei jährlichen Mieterträgen von EUR 1</w:t>
      </w:r>
      <w:r w:rsidR="00EA2185">
        <w:rPr>
          <w:rFonts w:ascii="Verdana" w:hAnsi="Verdana"/>
          <w:sz w:val="20"/>
          <w:lang w:val="de-DE"/>
        </w:rPr>
        <w:t>.</w:t>
      </w:r>
      <w:r w:rsidR="00864419">
        <w:rPr>
          <w:rFonts w:ascii="Verdana" w:hAnsi="Verdana"/>
          <w:sz w:val="20"/>
          <w:lang w:val="de-DE"/>
        </w:rPr>
        <w:t>5</w:t>
      </w:r>
      <w:r w:rsidR="00EA2185">
        <w:rPr>
          <w:rFonts w:ascii="Verdana" w:hAnsi="Verdana"/>
          <w:sz w:val="20"/>
          <w:lang w:val="de-DE"/>
        </w:rPr>
        <w:t>0</w:t>
      </w:r>
      <w:r w:rsidR="00864419">
        <w:rPr>
          <w:rFonts w:ascii="Verdana" w:hAnsi="Verdana"/>
          <w:sz w:val="20"/>
          <w:lang w:val="de-DE"/>
        </w:rPr>
        <w:t xml:space="preserve">0.000 und einer Rendite von </w:t>
      </w:r>
      <w:r w:rsidR="003500F0">
        <w:rPr>
          <w:rFonts w:ascii="Verdana" w:hAnsi="Verdana"/>
          <w:sz w:val="20"/>
          <w:lang w:val="de-DE"/>
        </w:rPr>
        <w:t>4</w:t>
      </w:r>
      <w:r w:rsidR="00BB76A1">
        <w:rPr>
          <w:rFonts w:ascii="Verdana" w:hAnsi="Verdana"/>
          <w:sz w:val="20"/>
          <w:lang w:val="de-DE"/>
        </w:rPr>
        <w:t>,0</w:t>
      </w:r>
      <w:r w:rsidR="00864419">
        <w:rPr>
          <w:rFonts w:ascii="Verdana" w:hAnsi="Verdana"/>
          <w:sz w:val="20"/>
          <w:lang w:val="de-DE"/>
        </w:rPr>
        <w:t xml:space="preserve"> % ergibt sich der Kaufpreis aus folgender Formel:</w:t>
      </w:r>
    </w:p>
    <w:p w:rsidR="00864419" w:rsidRDefault="00864419" w:rsidP="009E5DC3">
      <w:pPr>
        <w:spacing w:before="240"/>
        <w:ind w:left="442"/>
        <w:jc w:val="center"/>
        <w:rPr>
          <w:rFonts w:ascii="Verdana" w:hAnsi="Verdana"/>
          <w:sz w:val="20"/>
          <w:lang w:val="de-DE"/>
        </w:rPr>
      </w:pPr>
      <w:r>
        <w:rPr>
          <w:rFonts w:ascii="Verdana" w:hAnsi="Verdana"/>
          <w:sz w:val="20"/>
          <w:lang w:val="de-DE"/>
        </w:rPr>
        <w:t>EUR 1</w:t>
      </w:r>
      <w:r w:rsidR="00EA2185">
        <w:rPr>
          <w:rFonts w:ascii="Verdana" w:hAnsi="Verdana"/>
          <w:sz w:val="20"/>
          <w:lang w:val="de-DE"/>
        </w:rPr>
        <w:t>.</w:t>
      </w:r>
      <w:r>
        <w:rPr>
          <w:rFonts w:ascii="Verdana" w:hAnsi="Verdana"/>
          <w:sz w:val="20"/>
          <w:lang w:val="de-DE"/>
        </w:rPr>
        <w:t>5</w:t>
      </w:r>
      <w:r w:rsidR="00EA2185">
        <w:rPr>
          <w:rFonts w:ascii="Verdana" w:hAnsi="Verdana"/>
          <w:sz w:val="20"/>
          <w:lang w:val="de-DE"/>
        </w:rPr>
        <w:t>0</w:t>
      </w:r>
      <w:r>
        <w:rPr>
          <w:rFonts w:ascii="Verdana" w:hAnsi="Verdana"/>
          <w:sz w:val="20"/>
          <w:lang w:val="de-DE"/>
        </w:rPr>
        <w:t>0.000 Mieterträge : 0,0</w:t>
      </w:r>
      <w:r w:rsidR="003500F0">
        <w:rPr>
          <w:rFonts w:ascii="Verdana" w:hAnsi="Verdana"/>
          <w:sz w:val="20"/>
          <w:lang w:val="de-DE"/>
        </w:rPr>
        <w:t>4</w:t>
      </w:r>
      <w:r>
        <w:rPr>
          <w:rFonts w:ascii="Verdana" w:hAnsi="Verdana"/>
          <w:sz w:val="20"/>
          <w:lang w:val="de-DE"/>
        </w:rPr>
        <w:t xml:space="preserve"> Rendite = EUR </w:t>
      </w:r>
      <w:r w:rsidR="00BB76A1">
        <w:rPr>
          <w:rFonts w:ascii="Verdana" w:hAnsi="Verdana"/>
          <w:sz w:val="20"/>
          <w:lang w:val="de-DE"/>
        </w:rPr>
        <w:t>3</w:t>
      </w:r>
      <w:r w:rsidR="003500F0">
        <w:rPr>
          <w:rFonts w:ascii="Verdana" w:hAnsi="Verdana"/>
          <w:sz w:val="20"/>
          <w:lang w:val="de-DE"/>
        </w:rPr>
        <w:t>7</w:t>
      </w:r>
      <w:r>
        <w:rPr>
          <w:rFonts w:ascii="Verdana" w:hAnsi="Verdana"/>
          <w:sz w:val="20"/>
          <w:lang w:val="de-DE"/>
        </w:rPr>
        <w:t>.</w:t>
      </w:r>
      <w:r w:rsidR="003500F0">
        <w:rPr>
          <w:rFonts w:ascii="Verdana" w:hAnsi="Verdana"/>
          <w:sz w:val="20"/>
          <w:lang w:val="de-DE"/>
        </w:rPr>
        <w:t>5</w:t>
      </w:r>
      <w:r w:rsidRPr="00864419">
        <w:rPr>
          <w:rFonts w:ascii="Verdana" w:hAnsi="Verdana"/>
          <w:sz w:val="20"/>
          <w:lang w:val="de-DE"/>
        </w:rPr>
        <w:t>00</w:t>
      </w:r>
      <w:r>
        <w:rPr>
          <w:rFonts w:ascii="Verdana" w:hAnsi="Verdana"/>
          <w:sz w:val="20"/>
          <w:lang w:val="de-DE"/>
        </w:rPr>
        <w:t>.</w:t>
      </w:r>
      <w:r w:rsidRPr="00864419">
        <w:rPr>
          <w:rFonts w:ascii="Verdana" w:hAnsi="Verdana"/>
          <w:sz w:val="20"/>
          <w:lang w:val="de-DE"/>
        </w:rPr>
        <w:t>000</w:t>
      </w:r>
      <w:r>
        <w:rPr>
          <w:rFonts w:ascii="Verdana" w:hAnsi="Verdana"/>
          <w:sz w:val="20"/>
          <w:lang w:val="de-DE"/>
        </w:rPr>
        <w:t xml:space="preserve"> Kaufpreis</w:t>
      </w:r>
    </w:p>
    <w:p w:rsidR="00EA2185" w:rsidRDefault="00EA2185" w:rsidP="00864419">
      <w:pPr>
        <w:ind w:left="440"/>
        <w:jc w:val="center"/>
        <w:rPr>
          <w:rFonts w:ascii="Verdana" w:hAnsi="Verdana"/>
          <w:sz w:val="20"/>
          <w:lang w:val="de-DE"/>
        </w:rPr>
      </w:pPr>
      <w:r>
        <w:rPr>
          <w:rFonts w:ascii="Verdana" w:hAnsi="Verdana"/>
          <w:sz w:val="20"/>
          <w:lang w:val="de-DE"/>
        </w:rPr>
        <w:t>=</w:t>
      </w:r>
    </w:p>
    <w:p w:rsidR="00EA2185" w:rsidRPr="006170DB" w:rsidRDefault="00BB76A1" w:rsidP="009E5DC3">
      <w:pPr>
        <w:spacing w:after="60"/>
        <w:ind w:left="442"/>
        <w:jc w:val="center"/>
        <w:rPr>
          <w:rFonts w:ascii="Verdana" w:hAnsi="Verdana"/>
          <w:sz w:val="20"/>
          <w:lang w:val="de-DE"/>
        </w:rPr>
      </w:pPr>
      <w:r>
        <w:rPr>
          <w:rFonts w:ascii="Verdana" w:hAnsi="Verdana"/>
          <w:sz w:val="20"/>
          <w:lang w:val="de-DE"/>
        </w:rPr>
        <w:t>2</w:t>
      </w:r>
      <w:r w:rsidR="003500F0">
        <w:rPr>
          <w:rFonts w:ascii="Verdana" w:hAnsi="Verdana"/>
          <w:sz w:val="20"/>
          <w:lang w:val="de-DE"/>
        </w:rPr>
        <w:t>5</w:t>
      </w:r>
      <w:r w:rsidR="004E583A">
        <w:rPr>
          <w:rFonts w:ascii="Verdana" w:hAnsi="Verdana"/>
          <w:sz w:val="20"/>
          <w:lang w:val="de-DE"/>
        </w:rPr>
        <w:t xml:space="preserve">-fache </w:t>
      </w:r>
      <w:r w:rsidR="00EA2185">
        <w:rPr>
          <w:rFonts w:ascii="Verdana" w:hAnsi="Verdana"/>
          <w:sz w:val="20"/>
          <w:lang w:val="de-DE"/>
        </w:rPr>
        <w:t xml:space="preserve">der Mieterträge von EUR 1.500.000 = EUR </w:t>
      </w:r>
      <w:r>
        <w:rPr>
          <w:rFonts w:ascii="Verdana" w:hAnsi="Verdana"/>
          <w:sz w:val="20"/>
          <w:lang w:val="de-DE"/>
        </w:rPr>
        <w:t>3</w:t>
      </w:r>
      <w:r w:rsidR="003500F0">
        <w:rPr>
          <w:rFonts w:ascii="Verdana" w:hAnsi="Verdana"/>
          <w:sz w:val="20"/>
          <w:lang w:val="de-DE"/>
        </w:rPr>
        <w:t>7</w:t>
      </w:r>
      <w:r w:rsidR="00EA2185">
        <w:rPr>
          <w:rFonts w:ascii="Verdana" w:hAnsi="Verdana"/>
          <w:sz w:val="20"/>
          <w:lang w:val="de-DE"/>
        </w:rPr>
        <w:t>.</w:t>
      </w:r>
      <w:r w:rsidR="003500F0">
        <w:rPr>
          <w:rFonts w:ascii="Verdana" w:hAnsi="Verdana"/>
          <w:sz w:val="20"/>
          <w:lang w:val="de-DE"/>
        </w:rPr>
        <w:t>5</w:t>
      </w:r>
      <w:r w:rsidR="00EA2185" w:rsidRPr="00864419">
        <w:rPr>
          <w:rFonts w:ascii="Verdana" w:hAnsi="Verdana"/>
          <w:sz w:val="20"/>
          <w:lang w:val="de-DE"/>
        </w:rPr>
        <w:t>00</w:t>
      </w:r>
      <w:r w:rsidR="00EA2185">
        <w:rPr>
          <w:rFonts w:ascii="Verdana" w:hAnsi="Verdana"/>
          <w:sz w:val="20"/>
          <w:lang w:val="de-DE"/>
        </w:rPr>
        <w:t>.</w:t>
      </w:r>
      <w:r w:rsidR="00EA2185" w:rsidRPr="00864419">
        <w:rPr>
          <w:rFonts w:ascii="Verdana" w:hAnsi="Verdana"/>
          <w:sz w:val="20"/>
          <w:lang w:val="de-DE"/>
        </w:rPr>
        <w:t>000</w:t>
      </w:r>
      <w:r w:rsidR="00EA2185">
        <w:rPr>
          <w:rFonts w:ascii="Verdana" w:hAnsi="Verdana"/>
          <w:sz w:val="20"/>
          <w:lang w:val="de-DE"/>
        </w:rPr>
        <w:t xml:space="preserve"> Kaufpreis</w:t>
      </w:r>
    </w:p>
    <w:p w:rsidR="004E583A" w:rsidRDefault="007E01D3"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Bei der Überlegung, welche </w:t>
      </w:r>
      <w:r w:rsidR="00E220CF" w:rsidRPr="006170DB">
        <w:rPr>
          <w:rFonts w:ascii="Verdana" w:hAnsi="Verdana"/>
          <w:sz w:val="20"/>
          <w:lang w:val="de-DE"/>
        </w:rPr>
        <w:t>Rendite</w:t>
      </w:r>
      <w:r w:rsidRPr="006170DB">
        <w:rPr>
          <w:rFonts w:ascii="Verdana" w:hAnsi="Verdana"/>
          <w:sz w:val="20"/>
          <w:lang w:val="de-DE"/>
        </w:rPr>
        <w:t xml:space="preserve"> erzielt werden kann, ist für den Unternehmer letztlich nur die Netto-</w:t>
      </w:r>
      <w:r w:rsidR="00E220CF" w:rsidRPr="006170DB">
        <w:rPr>
          <w:rFonts w:ascii="Verdana" w:hAnsi="Verdana"/>
          <w:sz w:val="20"/>
          <w:lang w:val="de-DE"/>
        </w:rPr>
        <w:t>Rendite</w:t>
      </w:r>
      <w:r w:rsidRPr="006170DB">
        <w:rPr>
          <w:rFonts w:ascii="Verdana" w:hAnsi="Verdana"/>
          <w:sz w:val="20"/>
          <w:lang w:val="de-DE"/>
        </w:rPr>
        <w:t xml:space="preserve"> interessant: was bleibt wirklich über, welche Kosten müssen von </w:t>
      </w:r>
      <w:r w:rsidR="00105E89" w:rsidRPr="006170DB">
        <w:rPr>
          <w:rFonts w:ascii="Verdana" w:hAnsi="Verdana"/>
          <w:sz w:val="20"/>
          <w:lang w:val="de-DE"/>
        </w:rPr>
        <w:t>den Zahlungen der Mieter (</w:t>
      </w:r>
      <w:r w:rsidRPr="006170DB">
        <w:rPr>
          <w:rFonts w:ascii="Verdana" w:hAnsi="Verdana"/>
          <w:sz w:val="20"/>
          <w:lang w:val="de-DE"/>
        </w:rPr>
        <w:t>der Brutto-</w:t>
      </w:r>
      <w:r w:rsidR="00E220CF" w:rsidRPr="006170DB">
        <w:rPr>
          <w:rFonts w:ascii="Verdana" w:hAnsi="Verdana"/>
          <w:sz w:val="20"/>
          <w:lang w:val="de-DE"/>
        </w:rPr>
        <w:t>Rendite</w:t>
      </w:r>
      <w:r w:rsidR="00105E89" w:rsidRPr="006170DB">
        <w:rPr>
          <w:rFonts w:ascii="Verdana" w:hAnsi="Verdana"/>
          <w:sz w:val="20"/>
          <w:lang w:val="de-DE"/>
        </w:rPr>
        <w:t>)</w:t>
      </w:r>
      <w:r w:rsidRPr="006170DB">
        <w:rPr>
          <w:rFonts w:ascii="Verdana" w:hAnsi="Verdana"/>
          <w:sz w:val="20"/>
          <w:lang w:val="de-DE"/>
        </w:rPr>
        <w:t xml:space="preserve"> noch abgezogen werden? Wichtig ist hierbei vor allem die </w:t>
      </w:r>
      <w:r w:rsidR="0078269F" w:rsidRPr="006170DB">
        <w:rPr>
          <w:rFonts w:ascii="Verdana" w:hAnsi="Verdana"/>
          <w:sz w:val="20"/>
          <w:lang w:val="de-DE"/>
        </w:rPr>
        <w:t>Überlegung</w:t>
      </w:r>
      <w:r w:rsidRPr="006170DB">
        <w:rPr>
          <w:rFonts w:ascii="Verdana" w:hAnsi="Verdana"/>
          <w:sz w:val="20"/>
          <w:lang w:val="de-DE"/>
        </w:rPr>
        <w:t>, welche Kosten auf d</w:t>
      </w:r>
      <w:r w:rsidR="00864419">
        <w:rPr>
          <w:rFonts w:ascii="Verdana" w:hAnsi="Verdana"/>
          <w:sz w:val="20"/>
          <w:lang w:val="de-DE"/>
        </w:rPr>
        <w:t>i</w:t>
      </w:r>
      <w:r w:rsidRPr="006170DB">
        <w:rPr>
          <w:rFonts w:ascii="Verdana" w:hAnsi="Verdana"/>
          <w:sz w:val="20"/>
          <w:lang w:val="de-DE"/>
        </w:rPr>
        <w:t xml:space="preserve">e Mieter nicht überwälzt werden können und daher </w:t>
      </w:r>
      <w:r w:rsidR="00105E89" w:rsidRPr="006170DB">
        <w:rPr>
          <w:rFonts w:ascii="Verdana" w:hAnsi="Verdana"/>
          <w:sz w:val="20"/>
          <w:lang w:val="de-DE"/>
        </w:rPr>
        <w:t xml:space="preserve">endgültig </w:t>
      </w:r>
      <w:r w:rsidRPr="006170DB">
        <w:rPr>
          <w:rFonts w:ascii="Verdana" w:hAnsi="Verdana"/>
          <w:sz w:val="20"/>
          <w:lang w:val="de-DE"/>
        </w:rPr>
        <w:t>vom Vermie</w:t>
      </w:r>
      <w:r w:rsidR="00751BF4" w:rsidRPr="006170DB">
        <w:rPr>
          <w:rFonts w:ascii="Verdana" w:hAnsi="Verdana"/>
          <w:sz w:val="20"/>
          <w:lang w:val="de-DE"/>
        </w:rPr>
        <w:t>ter getragen werden müssen.</w:t>
      </w:r>
      <w:r w:rsidR="0078269F" w:rsidRPr="006170DB">
        <w:rPr>
          <w:rFonts w:ascii="Verdana" w:hAnsi="Verdana"/>
          <w:sz w:val="20"/>
          <w:lang w:val="de-DE"/>
        </w:rPr>
        <w:t xml:space="preserve"> </w:t>
      </w:r>
    </w:p>
    <w:p w:rsidR="00AB7619" w:rsidRDefault="0078269F" w:rsidP="009E5DC3">
      <w:pPr>
        <w:spacing w:before="240" w:after="60"/>
        <w:ind w:left="442"/>
        <w:rPr>
          <w:rFonts w:ascii="Verdana" w:hAnsi="Verdana"/>
          <w:sz w:val="20"/>
          <w:lang w:val="de-DE"/>
        </w:rPr>
      </w:pPr>
      <w:r w:rsidRPr="006170DB">
        <w:rPr>
          <w:rFonts w:ascii="Verdana" w:hAnsi="Verdana"/>
          <w:sz w:val="20"/>
          <w:lang w:val="de-DE"/>
        </w:rPr>
        <w:t xml:space="preserve">Die Frage lautet daher: Welche Kosten für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den Betrieb</w:t>
      </w:r>
      <w:r w:rsidR="00AB7619" w:rsidRPr="00AB7619">
        <w:rPr>
          <w:rFonts w:ascii="Verdana" w:hAnsi="Verdana"/>
          <w:sz w:val="20"/>
          <w:lang w:val="de-DE"/>
        </w:rPr>
        <w:t xml:space="preserve"> (insbesondere bei Beschränkung durch Vollanwendung des MRG mit dem eingeschränkten Betriebskostenkatalog, aber auch bei Teil- bzw Nichtanwendung können gewisse Klauseln gröblich benachteiligend sein)</w:t>
      </w:r>
      <w:r w:rsidRPr="00AB7619">
        <w:rPr>
          <w:rFonts w:ascii="Verdana" w:hAnsi="Verdana"/>
          <w:sz w:val="20"/>
          <w:lang w:val="de-DE"/>
        </w:rPr>
        <w:t xml:space="preserve">,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 xml:space="preserve">die Instandhaltung </w:t>
      </w:r>
      <w:r w:rsidR="00EF0ED1" w:rsidRPr="00AB7619">
        <w:rPr>
          <w:rFonts w:ascii="Verdana" w:hAnsi="Verdana"/>
          <w:sz w:val="20"/>
          <w:lang w:val="de-DE"/>
        </w:rPr>
        <w:t>(CapEx – Capital Expenditure</w:t>
      </w:r>
      <w:r w:rsidR="00AB7619" w:rsidRPr="00AB7619">
        <w:rPr>
          <w:rFonts w:ascii="Verdana" w:hAnsi="Verdana"/>
          <w:sz w:val="20"/>
          <w:lang w:val="de-DE"/>
        </w:rPr>
        <w:t xml:space="preserve"> – auch hier gibt es durch die OGH-Rechtsprechung Einschränkungen, weil gewisse Positionen selbst bei Unternehmern wegen gröblicher Benachteiligung nicht überwälzt werden können</w:t>
      </w:r>
      <w:r w:rsidR="00BB76A1">
        <w:rPr>
          <w:rFonts w:ascii="Verdana" w:hAnsi="Verdana"/>
          <w:sz w:val="20"/>
          <w:lang w:val="de-DE"/>
        </w:rPr>
        <w:t xml:space="preserve"> – insbesondere Investitionen in allgemeine Teile des Hauses und teilweise auch innerhalb des Mietgegenstands</w:t>
      </w:r>
      <w:r w:rsidR="00EF0ED1" w:rsidRPr="00AB7619">
        <w:rPr>
          <w:rFonts w:ascii="Verdana" w:hAnsi="Verdana"/>
          <w:sz w:val="20"/>
          <w:lang w:val="de-DE"/>
        </w:rPr>
        <w:t xml:space="preserve">) </w:t>
      </w:r>
      <w:r w:rsidRPr="00AB7619">
        <w:rPr>
          <w:rFonts w:ascii="Verdana" w:hAnsi="Verdana"/>
          <w:sz w:val="20"/>
          <w:lang w:val="de-DE"/>
        </w:rPr>
        <w:t xml:space="preserve">und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 xml:space="preserve">Leerstehung </w:t>
      </w:r>
      <w:r w:rsidR="00EF0ED1" w:rsidRPr="00AB7619">
        <w:rPr>
          <w:rFonts w:ascii="Verdana" w:hAnsi="Verdana"/>
          <w:sz w:val="20"/>
          <w:lang w:val="de-DE"/>
        </w:rPr>
        <w:t xml:space="preserve">(sowohl die laufenden Betriebskosten für den Leerstand als auch die Kosten der Mietersuche und der dem neuen Mieter zu gewährenden Incentives wie mietfreie Zeit, Zuschuss zu Ausbauten nach Mieterwunsch etc) </w:t>
      </w:r>
    </w:p>
    <w:p w:rsidR="007E01D3" w:rsidRPr="00AB7619" w:rsidRDefault="0078269F" w:rsidP="009E5DC3">
      <w:pPr>
        <w:spacing w:before="240" w:after="60"/>
        <w:ind w:left="442"/>
        <w:rPr>
          <w:rFonts w:ascii="Verdana" w:hAnsi="Verdana"/>
          <w:sz w:val="20"/>
          <w:lang w:val="de-DE"/>
        </w:rPr>
      </w:pPr>
      <w:r w:rsidRPr="00AB7619">
        <w:rPr>
          <w:rFonts w:ascii="Verdana" w:hAnsi="Verdana"/>
          <w:sz w:val="20"/>
          <w:lang w:val="de-DE"/>
        </w:rPr>
        <w:lastRenderedPageBreak/>
        <w:t>kann der Vermieter nicht auf d</w:t>
      </w:r>
      <w:r w:rsidR="00864419" w:rsidRPr="00AB7619">
        <w:rPr>
          <w:rFonts w:ascii="Verdana" w:hAnsi="Verdana"/>
          <w:sz w:val="20"/>
          <w:lang w:val="de-DE"/>
        </w:rPr>
        <w:t>i</w:t>
      </w:r>
      <w:r w:rsidRPr="00AB7619">
        <w:rPr>
          <w:rFonts w:ascii="Verdana" w:hAnsi="Verdana"/>
          <w:sz w:val="20"/>
          <w:lang w:val="de-DE"/>
        </w:rPr>
        <w:t>e Mieter überwälzen (entweder aufgrund gesetzlicher Beschränkungen oder aufgrund der Marktsituation).</w:t>
      </w:r>
    </w:p>
    <w:p w:rsidR="009B6BC5" w:rsidRDefault="009B6BC5"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Mietfreie Zeiten werden deswegen von Vermietern lieber gewährt als eine Reduktion der monatlichen Miete, selbst wenn dies über die Laufzeit des Vertrags zu identen Einnahmen führt, weil dann die höhere Miete in d</w:t>
      </w:r>
      <w:r w:rsidR="00DF4F4F">
        <w:rPr>
          <w:rFonts w:ascii="Verdana" w:hAnsi="Verdana"/>
          <w:sz w:val="20"/>
          <w:lang w:val="de-DE"/>
        </w:rPr>
        <w:t>i</w:t>
      </w:r>
      <w:r>
        <w:rPr>
          <w:rFonts w:ascii="Verdana" w:hAnsi="Verdana"/>
          <w:sz w:val="20"/>
          <w:lang w:val="de-DE"/>
        </w:rPr>
        <w:t xml:space="preserve">e Berechnung des </w:t>
      </w:r>
      <w:r w:rsidR="00DF4F4F">
        <w:rPr>
          <w:rFonts w:ascii="Verdana" w:hAnsi="Verdana"/>
          <w:sz w:val="20"/>
          <w:lang w:val="de-DE"/>
        </w:rPr>
        <w:t xml:space="preserve">Verkaufspreises einfließt und damit sich rechnerisch ein höherer Kaufpreis ergibt (wirtschaftlich wird allerdings von einem Käufer berücksichtigt werden, dass bei jeder Verlängerung oder Neuvermietung ebenfalls wieder eine mietfreie Zeit gewährt werden muss und somit der hohe Zins nicht nachhaltig erzielbar ist). Weiters erleichtert eine mietfreie Zeit </w:t>
      </w:r>
      <w:r w:rsidR="00873D54">
        <w:rPr>
          <w:rFonts w:ascii="Verdana" w:hAnsi="Verdana"/>
          <w:sz w:val="20"/>
          <w:lang w:val="de-DE"/>
        </w:rPr>
        <w:t>das Auffinden von Mietern im Bereich</w:t>
      </w:r>
      <w:r w:rsidR="00DF4F4F">
        <w:rPr>
          <w:rFonts w:ascii="Verdana" w:hAnsi="Verdana"/>
          <w:sz w:val="20"/>
          <w:lang w:val="de-DE"/>
        </w:rPr>
        <w:t xml:space="preserve"> neu gegründete</w:t>
      </w:r>
      <w:r w:rsidR="00873D54">
        <w:rPr>
          <w:rFonts w:ascii="Verdana" w:hAnsi="Verdana"/>
          <w:sz w:val="20"/>
          <w:lang w:val="de-DE"/>
        </w:rPr>
        <w:t>r</w:t>
      </w:r>
      <w:r w:rsidR="00DF4F4F">
        <w:rPr>
          <w:rFonts w:ascii="Verdana" w:hAnsi="Verdana"/>
          <w:sz w:val="20"/>
          <w:lang w:val="de-DE"/>
        </w:rPr>
        <w:t xml:space="preserve"> Unternehmen, </w:t>
      </w:r>
      <w:r w:rsidR="00912C3B">
        <w:rPr>
          <w:rFonts w:ascii="Verdana" w:hAnsi="Verdana"/>
          <w:sz w:val="20"/>
          <w:lang w:val="de-DE"/>
        </w:rPr>
        <w:t xml:space="preserve">weil </w:t>
      </w:r>
      <w:r w:rsidR="00DF4F4F">
        <w:rPr>
          <w:rFonts w:ascii="Verdana" w:hAnsi="Verdana"/>
          <w:sz w:val="20"/>
          <w:lang w:val="de-DE"/>
        </w:rPr>
        <w:t>zu Beginn nicht zu hohe Aufwendungen zu verdienen sind.</w:t>
      </w:r>
    </w:p>
    <w:p w:rsidR="004C0EF0" w:rsidRPr="006170DB" w:rsidRDefault="004C0EF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200</w:t>
      </w:r>
      <w:r w:rsidR="00EA2185">
        <w:rPr>
          <w:rFonts w:ascii="Verdana" w:hAnsi="Verdana"/>
          <w:sz w:val="20"/>
          <w:lang w:val="de-DE"/>
        </w:rPr>
        <w:t>8</w:t>
      </w:r>
      <w:r w:rsidRPr="006170DB">
        <w:rPr>
          <w:rFonts w:ascii="Verdana" w:hAnsi="Verdana"/>
          <w:sz w:val="20"/>
          <w:lang w:val="de-DE"/>
        </w:rPr>
        <w:t xml:space="preserve"> wurden </w:t>
      </w:r>
      <w:r w:rsidR="0081545B" w:rsidRPr="006170DB">
        <w:rPr>
          <w:rFonts w:ascii="Verdana" w:hAnsi="Verdana"/>
          <w:sz w:val="20"/>
          <w:lang w:val="de-DE"/>
        </w:rPr>
        <w:t>für</w:t>
      </w:r>
      <w:r w:rsidRPr="006170DB">
        <w:rPr>
          <w:rFonts w:ascii="Verdana" w:hAnsi="Verdana"/>
          <w:sz w:val="20"/>
          <w:lang w:val="de-DE"/>
        </w:rPr>
        <w:t xml:space="preserve"> Büroflächen in Toplagen in Wien Renditen </w:t>
      </w:r>
      <w:r w:rsidR="00A47977">
        <w:rPr>
          <w:rFonts w:ascii="Verdana" w:hAnsi="Verdana"/>
          <w:sz w:val="20"/>
          <w:lang w:val="de-DE"/>
        </w:rPr>
        <w:t>von 4-</w:t>
      </w:r>
      <w:r w:rsidRPr="006170DB">
        <w:rPr>
          <w:rFonts w:ascii="Verdana" w:hAnsi="Verdana"/>
          <w:sz w:val="20"/>
          <w:lang w:val="de-DE"/>
        </w:rPr>
        <w:t>5</w:t>
      </w:r>
      <w:r w:rsidR="00864419">
        <w:rPr>
          <w:rFonts w:ascii="Verdana" w:hAnsi="Verdana"/>
          <w:sz w:val="20"/>
          <w:lang w:val="de-DE"/>
        </w:rPr>
        <w:t> </w:t>
      </w:r>
      <w:r w:rsidRPr="006170DB">
        <w:rPr>
          <w:rFonts w:ascii="Verdana" w:hAnsi="Verdana"/>
          <w:sz w:val="20"/>
          <w:lang w:val="de-DE"/>
        </w:rPr>
        <w:t xml:space="preserve">% bezahlt; </w:t>
      </w:r>
      <w:r w:rsidR="00EA2185">
        <w:rPr>
          <w:rFonts w:ascii="Verdana" w:hAnsi="Verdana"/>
          <w:sz w:val="20"/>
          <w:lang w:val="de-DE"/>
        </w:rPr>
        <w:t>in der Krise waren Käufer bereit, zu Renditen von 7-8</w:t>
      </w:r>
      <w:r w:rsidR="00873D54">
        <w:rPr>
          <w:rFonts w:ascii="Verdana" w:hAnsi="Verdana"/>
          <w:sz w:val="20"/>
          <w:lang w:val="de-DE"/>
        </w:rPr>
        <w:t> </w:t>
      </w:r>
      <w:r w:rsidR="00EA2185">
        <w:rPr>
          <w:rFonts w:ascii="Verdana" w:hAnsi="Verdana"/>
          <w:sz w:val="20"/>
          <w:lang w:val="de-DE"/>
        </w:rPr>
        <w:t xml:space="preserve">% zu kaufen, </w:t>
      </w:r>
      <w:r w:rsidRPr="006170DB">
        <w:rPr>
          <w:rFonts w:ascii="Verdana" w:hAnsi="Verdana"/>
          <w:sz w:val="20"/>
          <w:lang w:val="de-DE"/>
        </w:rPr>
        <w:t>20</w:t>
      </w:r>
      <w:r w:rsidR="006170DB">
        <w:rPr>
          <w:rFonts w:ascii="Verdana" w:hAnsi="Verdana"/>
          <w:sz w:val="20"/>
          <w:lang w:val="de-DE"/>
        </w:rPr>
        <w:t>1</w:t>
      </w:r>
      <w:r w:rsidR="00C72B26">
        <w:rPr>
          <w:rFonts w:ascii="Verdana" w:hAnsi="Verdana"/>
          <w:sz w:val="20"/>
          <w:lang w:val="de-DE"/>
        </w:rPr>
        <w:t>8</w:t>
      </w:r>
      <w:r w:rsidRPr="006170DB">
        <w:rPr>
          <w:rFonts w:ascii="Verdana" w:hAnsi="Verdana"/>
          <w:sz w:val="20"/>
          <w:lang w:val="de-DE"/>
        </w:rPr>
        <w:t xml:space="preserve"> verlangen die Käufer Renditen </w:t>
      </w:r>
      <w:r w:rsidR="009E5DC3">
        <w:rPr>
          <w:rFonts w:ascii="Verdana" w:hAnsi="Verdana"/>
          <w:sz w:val="20"/>
          <w:lang w:val="de-DE"/>
        </w:rPr>
        <w:t>auch schon unter</w:t>
      </w:r>
      <w:r w:rsidR="00EA2185">
        <w:rPr>
          <w:rFonts w:ascii="Verdana" w:hAnsi="Verdana"/>
          <w:sz w:val="20"/>
          <w:lang w:val="de-DE"/>
        </w:rPr>
        <w:t xml:space="preserve"> </w:t>
      </w:r>
      <w:r w:rsidR="00A47977">
        <w:rPr>
          <w:rFonts w:ascii="Verdana" w:hAnsi="Verdana"/>
          <w:sz w:val="20"/>
          <w:lang w:val="de-DE"/>
        </w:rPr>
        <w:t>4</w:t>
      </w:r>
      <w:r w:rsidR="00864419">
        <w:rPr>
          <w:rFonts w:ascii="Verdana" w:hAnsi="Verdana"/>
          <w:sz w:val="20"/>
          <w:lang w:val="de-DE"/>
        </w:rPr>
        <w:t> </w:t>
      </w:r>
      <w:r w:rsidRPr="006170DB">
        <w:rPr>
          <w:rFonts w:ascii="Verdana" w:hAnsi="Verdana"/>
          <w:sz w:val="20"/>
          <w:lang w:val="de-DE"/>
        </w:rPr>
        <w:t>%</w:t>
      </w:r>
      <w:r w:rsidR="00BB76A1">
        <w:rPr>
          <w:rFonts w:ascii="Verdana" w:hAnsi="Verdana"/>
          <w:sz w:val="20"/>
          <w:lang w:val="de-DE"/>
        </w:rPr>
        <w:t xml:space="preserve"> und erreichen</w:t>
      </w:r>
      <w:r w:rsidR="00AB7619">
        <w:rPr>
          <w:rFonts w:ascii="Verdana" w:hAnsi="Verdana"/>
          <w:sz w:val="20"/>
          <w:lang w:val="de-DE"/>
        </w:rPr>
        <w:t xml:space="preserve"> </w:t>
      </w:r>
      <w:r w:rsidR="009E5DC3">
        <w:rPr>
          <w:rFonts w:ascii="Verdana" w:hAnsi="Verdana"/>
          <w:sz w:val="20"/>
          <w:lang w:val="de-DE"/>
        </w:rPr>
        <w:t xml:space="preserve">wieder bzw übersteigen sogar </w:t>
      </w:r>
      <w:r w:rsidR="00AB7619">
        <w:rPr>
          <w:rFonts w:ascii="Verdana" w:hAnsi="Verdana"/>
          <w:sz w:val="20"/>
          <w:lang w:val="de-DE"/>
        </w:rPr>
        <w:t>d</w:t>
      </w:r>
      <w:r w:rsidR="00BB76A1">
        <w:rPr>
          <w:rFonts w:ascii="Verdana" w:hAnsi="Verdana"/>
          <w:sz w:val="20"/>
          <w:lang w:val="de-DE"/>
        </w:rPr>
        <w:t>i</w:t>
      </w:r>
      <w:r w:rsidR="00AB7619">
        <w:rPr>
          <w:rFonts w:ascii="Verdana" w:hAnsi="Verdana"/>
          <w:sz w:val="20"/>
          <w:lang w:val="de-DE"/>
        </w:rPr>
        <w:t xml:space="preserve">e höchsten Preisen vor der Krise </w:t>
      </w:r>
      <w:r w:rsidR="00BB76A1">
        <w:rPr>
          <w:rFonts w:ascii="Verdana" w:hAnsi="Verdana"/>
          <w:sz w:val="20"/>
          <w:lang w:val="de-DE"/>
        </w:rPr>
        <w:t xml:space="preserve">und die Tendenz der Kaufpreise ist weiter </w:t>
      </w:r>
      <w:r w:rsidR="009E5DC3">
        <w:rPr>
          <w:rFonts w:ascii="Verdana" w:hAnsi="Verdana"/>
          <w:sz w:val="20"/>
          <w:lang w:val="de-DE"/>
        </w:rPr>
        <w:t xml:space="preserve">leicht </w:t>
      </w:r>
      <w:r w:rsidR="00BB76A1">
        <w:rPr>
          <w:rFonts w:ascii="Verdana" w:hAnsi="Verdana"/>
          <w:sz w:val="20"/>
          <w:lang w:val="de-DE"/>
        </w:rPr>
        <w:t>steigend</w:t>
      </w:r>
      <w:r w:rsidRPr="006170DB">
        <w:rPr>
          <w:rFonts w:ascii="Verdana" w:hAnsi="Verdana"/>
          <w:sz w:val="20"/>
          <w:lang w:val="de-DE"/>
        </w:rPr>
        <w:t xml:space="preserve">. </w:t>
      </w:r>
      <w:r w:rsidR="0081545B" w:rsidRPr="006170DB">
        <w:rPr>
          <w:rFonts w:ascii="Verdana" w:hAnsi="Verdana"/>
          <w:sz w:val="20"/>
          <w:lang w:val="de-DE"/>
        </w:rPr>
        <w:t>Bei</w:t>
      </w:r>
      <w:r w:rsidRPr="006170DB">
        <w:rPr>
          <w:rFonts w:ascii="Verdana" w:hAnsi="Verdana"/>
          <w:sz w:val="20"/>
          <w:lang w:val="de-DE"/>
        </w:rPr>
        <w:t xml:space="preserve"> Zinsh</w:t>
      </w:r>
      <w:r w:rsidR="0081545B" w:rsidRPr="006170DB">
        <w:rPr>
          <w:rFonts w:ascii="Verdana" w:hAnsi="Verdana"/>
          <w:sz w:val="20"/>
          <w:lang w:val="de-DE"/>
        </w:rPr>
        <w:t>äusern</w:t>
      </w:r>
      <w:r w:rsidRPr="006170DB">
        <w:rPr>
          <w:rFonts w:ascii="Verdana" w:hAnsi="Verdana"/>
          <w:sz w:val="20"/>
          <w:lang w:val="de-DE"/>
        </w:rPr>
        <w:t xml:space="preserve"> sind </w:t>
      </w:r>
      <w:r w:rsidR="0081545B" w:rsidRPr="006170DB">
        <w:rPr>
          <w:rFonts w:ascii="Verdana" w:hAnsi="Verdana"/>
          <w:sz w:val="20"/>
          <w:lang w:val="de-DE"/>
        </w:rPr>
        <w:t xml:space="preserve">derzeit </w:t>
      </w:r>
      <w:r w:rsidRPr="006170DB">
        <w:rPr>
          <w:rFonts w:ascii="Verdana" w:hAnsi="Verdana"/>
          <w:sz w:val="20"/>
          <w:lang w:val="de-DE"/>
        </w:rPr>
        <w:t xml:space="preserve">Renditen von </w:t>
      </w:r>
      <w:r w:rsidR="0081545B" w:rsidRPr="006170DB">
        <w:rPr>
          <w:rFonts w:ascii="Verdana" w:hAnsi="Verdana"/>
          <w:sz w:val="20"/>
          <w:lang w:val="de-DE"/>
        </w:rPr>
        <w:t>rund</w:t>
      </w:r>
      <w:r w:rsidRPr="006170DB">
        <w:rPr>
          <w:rFonts w:ascii="Verdana" w:hAnsi="Verdana"/>
          <w:sz w:val="20"/>
          <w:lang w:val="de-DE"/>
        </w:rPr>
        <w:t xml:space="preserve"> 2</w:t>
      </w:r>
      <w:r w:rsidR="00864419">
        <w:rPr>
          <w:rFonts w:ascii="Verdana" w:hAnsi="Verdana"/>
          <w:sz w:val="20"/>
          <w:lang w:val="de-DE"/>
        </w:rPr>
        <w:t> </w:t>
      </w:r>
      <w:r w:rsidRPr="006170DB">
        <w:rPr>
          <w:rFonts w:ascii="Verdana" w:hAnsi="Verdana"/>
          <w:sz w:val="20"/>
          <w:lang w:val="de-DE"/>
        </w:rPr>
        <w:t>%</w:t>
      </w:r>
      <w:r w:rsidR="00BB76A1">
        <w:rPr>
          <w:rFonts w:ascii="Verdana" w:hAnsi="Verdana"/>
          <w:sz w:val="20"/>
          <w:lang w:val="de-DE"/>
        </w:rPr>
        <w:t>, in Spitzenlagen sogar darunter,</w:t>
      </w:r>
      <w:r w:rsidRPr="006170DB">
        <w:rPr>
          <w:rFonts w:ascii="Verdana" w:hAnsi="Verdana"/>
          <w:sz w:val="20"/>
          <w:lang w:val="de-DE"/>
        </w:rPr>
        <w:t xml:space="preserve"> </w:t>
      </w:r>
      <w:r w:rsidR="00227104">
        <w:rPr>
          <w:rFonts w:ascii="Verdana" w:hAnsi="Verdana"/>
          <w:sz w:val="20"/>
          <w:lang w:val="de-DE"/>
        </w:rPr>
        <w:t>möglich</w:t>
      </w:r>
      <w:r w:rsidRPr="006170DB">
        <w:rPr>
          <w:rFonts w:ascii="Verdana" w:hAnsi="Verdana"/>
          <w:sz w:val="20"/>
          <w:lang w:val="de-DE"/>
        </w:rPr>
        <w:t>.</w:t>
      </w:r>
      <w:r w:rsidR="00EA2185">
        <w:rPr>
          <w:rFonts w:ascii="Verdana" w:hAnsi="Verdana"/>
          <w:sz w:val="20"/>
          <w:lang w:val="de-DE"/>
        </w:rPr>
        <w:t xml:space="preserve"> Spezialimmobilien wie zB Logistikimmobilien etc bringen eine höhere Rendite, haben aber auch ein höheres Risiko</w:t>
      </w:r>
      <w:r w:rsidR="00227104">
        <w:rPr>
          <w:rFonts w:ascii="Verdana" w:hAnsi="Verdana"/>
          <w:sz w:val="20"/>
          <w:lang w:val="de-DE"/>
        </w:rPr>
        <w:t>, während Wohnen eher niedrigere Renditen bringt</w:t>
      </w:r>
      <w:r w:rsidR="00EA2185">
        <w:rPr>
          <w:rFonts w:ascii="Verdana" w:hAnsi="Verdana"/>
          <w:sz w:val="20"/>
          <w:lang w:val="de-DE"/>
        </w:rPr>
        <w:t>.</w:t>
      </w:r>
    </w:p>
    <w:p w:rsidR="007E01D3" w:rsidRPr="00EF0ED1" w:rsidRDefault="007E01D3" w:rsidP="009E5DC3">
      <w:pPr>
        <w:pStyle w:val="ListParagraph"/>
        <w:numPr>
          <w:ilvl w:val="0"/>
          <w:numId w:val="13"/>
        </w:numPr>
        <w:spacing w:before="240" w:after="60"/>
        <w:ind w:left="426" w:hanging="426"/>
        <w:rPr>
          <w:rFonts w:ascii="Verdana" w:hAnsi="Verdana"/>
          <w:b/>
          <w:sz w:val="20"/>
          <w:lang w:val="en-US"/>
        </w:rPr>
      </w:pPr>
      <w:r w:rsidRPr="009E5DC3">
        <w:rPr>
          <w:rFonts w:ascii="Verdana" w:hAnsi="Verdana"/>
          <w:b/>
          <w:sz w:val="20"/>
          <w:lang w:val="de-DE"/>
        </w:rPr>
        <w:t>ASSET</w:t>
      </w:r>
      <w:r w:rsidRPr="00EF0ED1">
        <w:rPr>
          <w:rFonts w:ascii="Verdana" w:hAnsi="Verdana"/>
          <w:b/>
          <w:sz w:val="20"/>
          <w:lang w:val="en-US"/>
        </w:rPr>
        <w:t xml:space="preserve"> DEAL </w:t>
      </w:r>
      <w:r w:rsidR="00751BF4" w:rsidRPr="00EF0ED1">
        <w:rPr>
          <w:rFonts w:ascii="Verdana" w:hAnsi="Verdana"/>
          <w:b/>
          <w:sz w:val="20"/>
          <w:lang w:val="en-US"/>
        </w:rPr>
        <w:t>vs</w:t>
      </w:r>
      <w:r w:rsidR="006170DB" w:rsidRPr="00EF0ED1">
        <w:rPr>
          <w:rFonts w:ascii="Verdana" w:hAnsi="Verdana"/>
          <w:b/>
          <w:sz w:val="20"/>
          <w:lang w:val="en-US"/>
        </w:rPr>
        <w:t xml:space="preserve"> SHARE DEAL</w:t>
      </w:r>
    </w:p>
    <w:p w:rsidR="007E01D3" w:rsidRPr="006170DB" w:rsidRDefault="007E01D3" w:rsidP="009E5DC3">
      <w:pPr>
        <w:spacing w:before="240" w:after="60"/>
        <w:ind w:left="442"/>
        <w:rPr>
          <w:rFonts w:ascii="Verdana" w:hAnsi="Verdana"/>
          <w:sz w:val="20"/>
          <w:lang w:val="de-DE"/>
        </w:rPr>
      </w:pPr>
      <w:r w:rsidRPr="006170DB">
        <w:rPr>
          <w:rFonts w:ascii="Verdana" w:hAnsi="Verdana"/>
          <w:sz w:val="20"/>
          <w:lang w:val="de-DE"/>
        </w:rPr>
        <w:t>Die Frage, ob der Kauf als Asset Deal (die Liegenschaft samt Gebäude wird gekauft) oder als Share Deal (eine Gesellschaft, in deren Alleineigentum die Liegenschaft samt Gebäude steht</w:t>
      </w:r>
      <w:r w:rsidR="00EE49AC" w:rsidRPr="006170DB">
        <w:rPr>
          <w:rFonts w:ascii="Verdana" w:hAnsi="Verdana"/>
          <w:sz w:val="20"/>
          <w:lang w:val="de-DE"/>
        </w:rPr>
        <w:t>, ein</w:t>
      </w:r>
      <w:r w:rsidR="00751BF4" w:rsidRPr="006170DB">
        <w:rPr>
          <w:rFonts w:ascii="Verdana" w:hAnsi="Verdana"/>
          <w:sz w:val="20"/>
          <w:lang w:val="de-DE"/>
        </w:rPr>
        <w:t xml:space="preserve"> SPV</w:t>
      </w:r>
      <w:r w:rsidR="00EE49AC" w:rsidRPr="006170DB">
        <w:rPr>
          <w:rFonts w:ascii="Verdana" w:hAnsi="Verdana"/>
          <w:sz w:val="20"/>
          <w:lang w:val="de-DE"/>
        </w:rPr>
        <w:t xml:space="preserve"> – Special Purpose Vehicle</w:t>
      </w:r>
      <w:r w:rsidR="006170DB">
        <w:rPr>
          <w:rFonts w:ascii="Verdana" w:hAnsi="Verdana"/>
          <w:sz w:val="20"/>
          <w:lang w:val="de-DE"/>
        </w:rPr>
        <w:t>,</w:t>
      </w:r>
      <w:r w:rsidR="00EE49AC" w:rsidRPr="006170DB">
        <w:rPr>
          <w:rFonts w:ascii="Verdana" w:hAnsi="Verdana"/>
          <w:sz w:val="20"/>
          <w:lang w:val="de-DE"/>
        </w:rPr>
        <w:t xml:space="preserve"> wird gekauft</w:t>
      </w:r>
      <w:r w:rsidRPr="006170DB">
        <w:rPr>
          <w:rFonts w:ascii="Verdana" w:hAnsi="Verdana"/>
          <w:sz w:val="20"/>
          <w:lang w:val="de-DE"/>
        </w:rPr>
        <w:t>) gestaltet werden soll, hat weitreichende wirtschaftliche Auswirkungen. Folgende Punkte spielen dabei eine Rolle:</w:t>
      </w:r>
    </w:p>
    <w:p w:rsidR="007E01D3"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Kann mit einem Share Deal Grunderwerbsteuer vermieden werden (3,5 % Grunderwerbsteuer und 1</w:t>
      </w:r>
      <w:r w:rsidR="006170DB">
        <w:rPr>
          <w:rFonts w:ascii="Verdana" w:hAnsi="Verdana"/>
          <w:sz w:val="20"/>
          <w:lang w:val="de-DE"/>
        </w:rPr>
        <w:t>,1</w:t>
      </w:r>
      <w:r w:rsidRPr="006170DB">
        <w:rPr>
          <w:rFonts w:ascii="Verdana" w:hAnsi="Verdana"/>
          <w:sz w:val="20"/>
          <w:lang w:val="de-DE"/>
        </w:rPr>
        <w:t xml:space="preserve"> % Grundbuchseintragungsgebühr gehen ja sonst direkt in die </w:t>
      </w:r>
      <w:r w:rsidR="00E220CF" w:rsidRPr="006170DB">
        <w:rPr>
          <w:rFonts w:ascii="Verdana" w:hAnsi="Verdana"/>
          <w:sz w:val="20"/>
          <w:lang w:val="de-DE"/>
        </w:rPr>
        <w:t>Rendite</w:t>
      </w:r>
      <w:r w:rsidRPr="006170DB">
        <w:rPr>
          <w:rFonts w:ascii="Verdana" w:hAnsi="Verdana"/>
          <w:sz w:val="20"/>
          <w:lang w:val="de-DE"/>
        </w:rPr>
        <w:t>)?</w:t>
      </w:r>
      <w:r w:rsidR="00864419">
        <w:rPr>
          <w:rFonts w:ascii="Verdana" w:hAnsi="Verdana"/>
          <w:sz w:val="20"/>
          <w:lang w:val="de-DE"/>
        </w:rPr>
        <w:t xml:space="preserve"> </w:t>
      </w:r>
      <w:r w:rsidR="000D70A6">
        <w:rPr>
          <w:rFonts w:ascii="Verdana" w:hAnsi="Verdana"/>
          <w:sz w:val="20"/>
          <w:lang w:val="de-DE"/>
        </w:rPr>
        <w:t xml:space="preserve">Die </w:t>
      </w:r>
      <w:r w:rsidR="00FE2758">
        <w:rPr>
          <w:rFonts w:ascii="Verdana" w:hAnsi="Verdana"/>
          <w:sz w:val="20"/>
          <w:lang w:val="de-DE"/>
        </w:rPr>
        <w:t>E</w:t>
      </w:r>
      <w:r w:rsidR="000D70A6">
        <w:rPr>
          <w:rFonts w:ascii="Verdana" w:hAnsi="Verdana"/>
          <w:sz w:val="20"/>
          <w:lang w:val="de-DE"/>
        </w:rPr>
        <w:t>intragungsgebühr kann jedenfalls vermieden werden. Bei der Grunderwerbsteuer g</w:t>
      </w:r>
      <w:r w:rsidR="00864419">
        <w:rPr>
          <w:rFonts w:ascii="Verdana" w:hAnsi="Verdana"/>
          <w:sz w:val="20"/>
          <w:lang w:val="de-DE"/>
        </w:rPr>
        <w:t xml:space="preserve">eht </w:t>
      </w:r>
      <w:r w:rsidR="000D70A6">
        <w:rPr>
          <w:rFonts w:ascii="Verdana" w:hAnsi="Verdana"/>
          <w:sz w:val="20"/>
          <w:lang w:val="de-DE"/>
        </w:rPr>
        <w:t xml:space="preserve">es </w:t>
      </w:r>
      <w:r w:rsidR="00864419">
        <w:rPr>
          <w:rFonts w:ascii="Verdana" w:hAnsi="Verdana"/>
          <w:sz w:val="20"/>
          <w:lang w:val="de-DE"/>
        </w:rPr>
        <w:t>grundsätzlich – allerdings aufpassen, dass keine Anteilsvereinigung zustande kommt (</w:t>
      </w:r>
      <w:r w:rsidR="00EF0ED1">
        <w:rPr>
          <w:rFonts w:ascii="Verdana" w:hAnsi="Verdana"/>
          <w:sz w:val="20"/>
          <w:lang w:val="de-DE"/>
        </w:rPr>
        <w:t>s.u.</w:t>
      </w:r>
      <w:r w:rsidR="00864419">
        <w:rPr>
          <w:rFonts w:ascii="Verdana" w:hAnsi="Verdana"/>
          <w:sz w:val="20"/>
          <w:lang w:val="de-DE"/>
        </w:rPr>
        <w:t>).</w:t>
      </w:r>
    </w:p>
    <w:p w:rsidR="00FE2758"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sieht es mit der Abschreibung de</w:t>
      </w:r>
      <w:r w:rsidR="00FE2758">
        <w:rPr>
          <w:rFonts w:ascii="Verdana" w:hAnsi="Verdana"/>
          <w:sz w:val="20"/>
          <w:lang w:val="de-DE"/>
        </w:rPr>
        <w:t>r Zinsen für den Kaufpreis aus?</w:t>
      </w:r>
    </w:p>
    <w:p w:rsidR="00FE2758" w:rsidRPr="006170DB" w:rsidRDefault="00FE2758"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Asset Deal: </w:t>
      </w:r>
      <w:r>
        <w:rPr>
          <w:rFonts w:ascii="Verdana" w:hAnsi="Verdana"/>
          <w:sz w:val="20"/>
          <w:lang w:val="de-DE"/>
        </w:rPr>
        <w:t>die Zinsen für den Kredit zur Anschaffung sind beim Käufer = Eigentümer der Liegenschaft abschreibbar, weil dieser auch Kreditnehmer ist - Zinsen reduzieren die Mieteinnahmen und so die Bemessungsgrundlage der Einkommen-/Körperschaftssteuer</w:t>
      </w:r>
      <w:r w:rsidRPr="006170DB">
        <w:rPr>
          <w:rFonts w:ascii="Verdana" w:hAnsi="Verdana"/>
          <w:sz w:val="20"/>
          <w:lang w:val="de-DE"/>
        </w:rPr>
        <w:t>;</w:t>
      </w:r>
    </w:p>
    <w:p w:rsidR="00FE2758" w:rsidRPr="006170DB" w:rsidRDefault="00FE2758"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Share Deal: </w:t>
      </w:r>
      <w:r>
        <w:rPr>
          <w:rFonts w:ascii="Verdana" w:hAnsi="Verdana"/>
          <w:sz w:val="20"/>
          <w:lang w:val="de-DE"/>
        </w:rPr>
        <w:t>die Zinsen fallen beim Gesellschafter an, der den Kredit für die Anschaffung der Geschäftsanteile aufgenommen hat – eine unmittelbare Gegenrechnung von Zinsen aus der Anschaffung als Aufwand gegenüber den Mieteinnahmen ist nicht möglich – die Mieteinnahmen werden daher nur um geringere Beträge reduziert und es fallen mehr Gewinnsteuern an.</w:t>
      </w:r>
    </w:p>
    <w:p w:rsidR="00C93AC6" w:rsidRPr="006170DB" w:rsidRDefault="00751BF4"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Ist man </w:t>
      </w:r>
      <w:r w:rsidR="00C93AC6" w:rsidRPr="006170DB">
        <w:rPr>
          <w:rFonts w:ascii="Verdana" w:hAnsi="Verdana"/>
          <w:sz w:val="20"/>
          <w:lang w:val="de-DE"/>
        </w:rPr>
        <w:t>an die Buchwerte der Gesellschaft gebunden?</w:t>
      </w:r>
    </w:p>
    <w:p w:rsidR="00454F7C" w:rsidRPr="006170DB" w:rsidRDefault="00454F7C"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Asset Deal: man kann </w:t>
      </w:r>
      <w:r w:rsidR="00DD33BE">
        <w:rPr>
          <w:rFonts w:ascii="Verdana" w:hAnsi="Verdana"/>
          <w:sz w:val="20"/>
          <w:lang w:val="de-DE"/>
        </w:rPr>
        <w:t xml:space="preserve">die Liegenschaft zu den Anschaffungskosten in die Bücher aufnehmen, sodass </w:t>
      </w:r>
      <w:r w:rsidRPr="006170DB">
        <w:rPr>
          <w:rFonts w:ascii="Verdana" w:hAnsi="Verdana"/>
          <w:sz w:val="20"/>
          <w:lang w:val="de-DE"/>
        </w:rPr>
        <w:t xml:space="preserve">Buchwert </w:t>
      </w:r>
      <w:r w:rsidR="0081545B" w:rsidRPr="006170DB">
        <w:rPr>
          <w:rFonts w:ascii="Verdana" w:hAnsi="Verdana"/>
          <w:sz w:val="20"/>
          <w:lang w:val="de-DE"/>
        </w:rPr>
        <w:t xml:space="preserve">= Kaufpreis </w:t>
      </w:r>
      <w:r w:rsidR="00DD33BE">
        <w:rPr>
          <w:rFonts w:ascii="Verdana" w:hAnsi="Verdana"/>
          <w:sz w:val="20"/>
          <w:lang w:val="de-DE"/>
        </w:rPr>
        <w:t>als Basis für die A</w:t>
      </w:r>
      <w:r w:rsidRPr="006170DB">
        <w:rPr>
          <w:rFonts w:ascii="Verdana" w:hAnsi="Verdana"/>
          <w:sz w:val="20"/>
          <w:lang w:val="de-DE"/>
        </w:rPr>
        <w:t>bschreib</w:t>
      </w:r>
      <w:r w:rsidR="00DD33BE">
        <w:rPr>
          <w:rFonts w:ascii="Verdana" w:hAnsi="Verdana"/>
          <w:sz w:val="20"/>
          <w:lang w:val="de-DE"/>
        </w:rPr>
        <w:t>ung herangezogen wird</w:t>
      </w:r>
      <w:r w:rsidR="00864419">
        <w:rPr>
          <w:rFonts w:ascii="Verdana" w:hAnsi="Verdana"/>
          <w:sz w:val="20"/>
          <w:lang w:val="de-DE"/>
        </w:rPr>
        <w:t xml:space="preserve"> </w:t>
      </w:r>
      <w:r w:rsidR="00FE2758">
        <w:rPr>
          <w:rFonts w:ascii="Verdana" w:hAnsi="Verdana"/>
          <w:sz w:val="20"/>
          <w:lang w:val="de-DE"/>
        </w:rPr>
        <w:t xml:space="preserve">(nur Gebäude ist abschreibbar – Liegenschaft selbst nicht) </w:t>
      </w:r>
      <w:r w:rsidR="00DD33BE">
        <w:rPr>
          <w:rFonts w:ascii="Verdana" w:hAnsi="Verdana"/>
          <w:sz w:val="20"/>
          <w:lang w:val="de-DE"/>
        </w:rPr>
        <w:t xml:space="preserve">– Abschreibung von der hohen Grundlage </w:t>
      </w:r>
      <w:r w:rsidR="00864419">
        <w:rPr>
          <w:rFonts w:ascii="Verdana" w:hAnsi="Verdana"/>
          <w:sz w:val="20"/>
          <w:lang w:val="de-DE"/>
        </w:rPr>
        <w:t xml:space="preserve">reduzieren die Mieteinnahmen und so die Bemessungsgrundlage der </w:t>
      </w:r>
      <w:r w:rsidR="00DD33BE">
        <w:rPr>
          <w:rFonts w:ascii="Verdana" w:hAnsi="Verdana"/>
          <w:sz w:val="20"/>
          <w:lang w:val="de-DE"/>
        </w:rPr>
        <w:t>Einkommen-/Körperschaftsst</w:t>
      </w:r>
      <w:r w:rsidR="00864419">
        <w:rPr>
          <w:rFonts w:ascii="Verdana" w:hAnsi="Verdana"/>
          <w:sz w:val="20"/>
          <w:lang w:val="de-DE"/>
        </w:rPr>
        <w:t>euer</w:t>
      </w:r>
      <w:r w:rsidRPr="006170DB">
        <w:rPr>
          <w:rFonts w:ascii="Verdana" w:hAnsi="Verdana"/>
          <w:sz w:val="20"/>
          <w:lang w:val="de-DE"/>
        </w:rPr>
        <w:t>;</w:t>
      </w:r>
    </w:p>
    <w:p w:rsidR="00454F7C" w:rsidRPr="006170DB" w:rsidRDefault="00454F7C"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Share Deal: man kann </w:t>
      </w:r>
      <w:r w:rsidR="00BB76A1">
        <w:rPr>
          <w:rFonts w:ascii="Verdana" w:hAnsi="Verdana"/>
          <w:sz w:val="20"/>
          <w:lang w:val="de-DE"/>
        </w:rPr>
        <w:t xml:space="preserve">bei einer Kapitalgesellschaft </w:t>
      </w:r>
      <w:r w:rsidRPr="006170DB">
        <w:rPr>
          <w:rFonts w:ascii="Verdana" w:hAnsi="Verdana"/>
          <w:sz w:val="20"/>
          <w:lang w:val="de-DE"/>
        </w:rPr>
        <w:t xml:space="preserve">nur vom </w:t>
      </w:r>
      <w:r w:rsidR="00DD33BE">
        <w:rPr>
          <w:rFonts w:ascii="Verdana" w:hAnsi="Verdana"/>
          <w:sz w:val="20"/>
          <w:lang w:val="de-DE"/>
        </w:rPr>
        <w:t>im SPV vorhandenen</w:t>
      </w:r>
      <w:r w:rsidR="00864419">
        <w:rPr>
          <w:rFonts w:ascii="Verdana" w:hAnsi="Verdana"/>
          <w:sz w:val="20"/>
          <w:lang w:val="de-DE"/>
        </w:rPr>
        <w:t xml:space="preserve"> </w:t>
      </w:r>
      <w:r w:rsidRPr="006170DB">
        <w:rPr>
          <w:rFonts w:ascii="Verdana" w:hAnsi="Verdana"/>
          <w:sz w:val="20"/>
          <w:lang w:val="de-DE"/>
        </w:rPr>
        <w:t xml:space="preserve">Buchwert der Liegenschaft </w:t>
      </w:r>
      <w:r w:rsidR="00864419">
        <w:rPr>
          <w:rFonts w:ascii="Verdana" w:hAnsi="Verdana"/>
          <w:sz w:val="20"/>
          <w:lang w:val="de-DE"/>
        </w:rPr>
        <w:t xml:space="preserve">im SPV </w:t>
      </w:r>
      <w:r w:rsidRPr="006170DB">
        <w:rPr>
          <w:rFonts w:ascii="Verdana" w:hAnsi="Verdana"/>
          <w:sz w:val="20"/>
          <w:lang w:val="de-DE"/>
        </w:rPr>
        <w:t>abschreiben; d</w:t>
      </w:r>
      <w:r w:rsidR="00DD33BE">
        <w:rPr>
          <w:rFonts w:ascii="Verdana" w:hAnsi="Verdana"/>
          <w:sz w:val="20"/>
          <w:lang w:val="de-DE"/>
        </w:rPr>
        <w:t>ies</w:t>
      </w:r>
      <w:r w:rsidRPr="006170DB">
        <w:rPr>
          <w:rFonts w:ascii="Verdana" w:hAnsi="Verdana"/>
          <w:sz w:val="20"/>
          <w:lang w:val="de-DE"/>
        </w:rPr>
        <w:t xml:space="preserve">er ist aber regelmäßig geringer als der </w:t>
      </w:r>
      <w:r w:rsidR="00EC72BD" w:rsidRPr="006170DB">
        <w:rPr>
          <w:rFonts w:ascii="Verdana" w:hAnsi="Verdana"/>
          <w:sz w:val="20"/>
          <w:lang w:val="de-DE"/>
        </w:rPr>
        <w:t xml:space="preserve">Betrag, der bei der </w:t>
      </w:r>
      <w:r w:rsidRPr="006170DB">
        <w:rPr>
          <w:rFonts w:ascii="Verdana" w:hAnsi="Verdana"/>
          <w:sz w:val="20"/>
          <w:lang w:val="de-DE"/>
        </w:rPr>
        <w:t>Kaufpreis</w:t>
      </w:r>
      <w:r w:rsidR="00EC72BD" w:rsidRPr="006170DB">
        <w:rPr>
          <w:rFonts w:ascii="Verdana" w:hAnsi="Verdana"/>
          <w:sz w:val="20"/>
          <w:lang w:val="de-DE"/>
        </w:rPr>
        <w:t xml:space="preserve">berechnung der </w:t>
      </w:r>
      <w:r w:rsidR="00DD33BE">
        <w:rPr>
          <w:rFonts w:ascii="Verdana" w:hAnsi="Verdana"/>
          <w:sz w:val="20"/>
          <w:lang w:val="de-DE"/>
        </w:rPr>
        <w:t>Anteile als Ansatz</w:t>
      </w:r>
      <w:r w:rsidR="00EC72BD" w:rsidRPr="006170DB">
        <w:rPr>
          <w:rFonts w:ascii="Verdana" w:hAnsi="Verdana"/>
          <w:sz w:val="20"/>
          <w:lang w:val="de-DE"/>
        </w:rPr>
        <w:t xml:space="preserve"> für die Liegenschaft </w:t>
      </w:r>
      <w:r w:rsidR="00864419" w:rsidRPr="006170DB">
        <w:rPr>
          <w:rFonts w:ascii="Verdana" w:hAnsi="Verdana"/>
          <w:sz w:val="20"/>
          <w:lang w:val="de-DE"/>
        </w:rPr>
        <w:t>einfließt</w:t>
      </w:r>
      <w:r w:rsidR="00FE2758">
        <w:rPr>
          <w:rFonts w:ascii="Verdana" w:hAnsi="Verdana"/>
          <w:sz w:val="20"/>
          <w:lang w:val="de-DE"/>
        </w:rPr>
        <w:t xml:space="preserve"> </w:t>
      </w:r>
      <w:r w:rsidR="00DD33BE">
        <w:rPr>
          <w:rFonts w:ascii="Verdana" w:hAnsi="Verdana"/>
          <w:sz w:val="20"/>
          <w:lang w:val="de-DE"/>
        </w:rPr>
        <w:t>– die Mieteinnahmen werden daher nur um geringere Beträge reduziert und es falle</w:t>
      </w:r>
      <w:r w:rsidR="00FE2758">
        <w:rPr>
          <w:rFonts w:ascii="Verdana" w:hAnsi="Verdana"/>
          <w:sz w:val="20"/>
          <w:lang w:val="de-DE"/>
        </w:rPr>
        <w:t>n</w:t>
      </w:r>
      <w:r w:rsidR="00DD33BE">
        <w:rPr>
          <w:rFonts w:ascii="Verdana" w:hAnsi="Verdana"/>
          <w:sz w:val="20"/>
          <w:lang w:val="de-DE"/>
        </w:rPr>
        <w:t xml:space="preserve"> mehr Gewinnsteuern an.</w:t>
      </w:r>
      <w:r w:rsidR="00BB76A1">
        <w:rPr>
          <w:rFonts w:ascii="Verdana" w:hAnsi="Verdana"/>
          <w:sz w:val="20"/>
          <w:lang w:val="de-DE"/>
        </w:rPr>
        <w:t xml:space="preserve"> Personengesellschaften gelten steuerlich als transparent und dort ist der Kaufpreis direkt beim Gesellschafter als Abschreibungsbasis ansetzbar.</w:t>
      </w:r>
    </w:p>
    <w:p w:rsidR="00FE2758" w:rsidRDefault="00FE2758"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Option zur Umsatzsteuer bei Vermietung: wenn an umsatzsteuerbefreite Unternehmer (zB Ärzte, Banken, Versicherungen) vermietet wird, die im Mietobjekt befreite Umsätze tätigen, darf der Vermieter nicht zur USt optieren und verliert diesbezüglich den Vorsteuerabzug für die Errichtung bzw Investitionen. Allerdings ist dann, wenn vor Inkrafttreten dieser Änderung 2012 der Vermieter das Gebäude selbst errichtet hat, noch die alte Rechtslage anzuwenden – daher gibt es einen Wechsel zur neuen Rechtslage erst, wenn es einen Asset Deal gibt, nicht aber bei einem Share Deal.</w:t>
      </w:r>
      <w:r w:rsidR="008A64D3">
        <w:rPr>
          <w:rFonts w:ascii="Verdana" w:hAnsi="Verdana"/>
          <w:sz w:val="20"/>
          <w:lang w:val="de-DE"/>
        </w:rPr>
        <w:t xml:space="preserve"> Dasselbe gilt für Mietverträge, die vor Inkrafttreten der Änderung abgeschlossen wurden: bei einem Asset Deal ändert sich der Vermieter und gilt dieser Mietvertrag da er umsatzsteuerrechtlich als Neuvertrag, so dass ab dem Übergang keine Option zur Umsatzsteuer mehr möglich ist.</w:t>
      </w:r>
    </w:p>
    <w:p w:rsidR="00454F7C"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Wie </w:t>
      </w:r>
      <w:r w:rsidR="00FE2758">
        <w:rPr>
          <w:rFonts w:ascii="Verdana" w:hAnsi="Verdana"/>
          <w:sz w:val="20"/>
          <w:lang w:val="de-DE"/>
        </w:rPr>
        <w:t xml:space="preserve">hoch </w:t>
      </w:r>
      <w:r w:rsidRPr="006170DB">
        <w:rPr>
          <w:rFonts w:ascii="Verdana" w:hAnsi="Verdana"/>
          <w:sz w:val="20"/>
          <w:lang w:val="de-DE"/>
        </w:rPr>
        <w:t>ist die Belastung mit latenten Steuern</w:t>
      </w:r>
      <w:r w:rsidR="00EF0ED1">
        <w:rPr>
          <w:rFonts w:ascii="Verdana" w:hAnsi="Verdana"/>
          <w:sz w:val="20"/>
          <w:lang w:val="de-DE"/>
        </w:rPr>
        <w:t xml:space="preserve"> (das sind </w:t>
      </w:r>
      <w:r w:rsidR="00092EEE">
        <w:rPr>
          <w:rFonts w:ascii="Verdana" w:hAnsi="Verdana"/>
          <w:sz w:val="20"/>
          <w:lang w:val="de-DE"/>
        </w:rPr>
        <w:t>Körperschaftssteuern</w:t>
      </w:r>
      <w:r w:rsidR="00EF0ED1">
        <w:rPr>
          <w:rFonts w:ascii="Verdana" w:hAnsi="Verdana"/>
          <w:sz w:val="20"/>
          <w:lang w:val="de-DE"/>
        </w:rPr>
        <w:t xml:space="preserve">, die in einem SPV anfallen, wenn nach einem Share Deal die Liegenschaft im Wege des Asset Deals verkauft wird und </w:t>
      </w:r>
      <w:r w:rsidR="00FE2758">
        <w:rPr>
          <w:rFonts w:ascii="Verdana" w:hAnsi="Verdana"/>
          <w:sz w:val="20"/>
          <w:lang w:val="de-DE"/>
        </w:rPr>
        <w:t>im SPV</w:t>
      </w:r>
      <w:r w:rsidR="00EF0ED1">
        <w:rPr>
          <w:rFonts w:ascii="Verdana" w:hAnsi="Verdana"/>
          <w:sz w:val="20"/>
          <w:lang w:val="de-DE"/>
        </w:rPr>
        <w:t xml:space="preserve"> wegen des niedrigeren Buchwerts der Liegenschaft im SPV gegenüber dem beim Share Deal zu Grunde gelegten wirtschaftlichen Kaufpreis der Liegenschaft ein Buchgewinn anfällt, selbst wenn wirtschaftlich nur derselbe Preis erzielt wird)</w:t>
      </w:r>
      <w:r w:rsidRPr="006170DB">
        <w:rPr>
          <w:rFonts w:ascii="Verdana" w:hAnsi="Verdana"/>
          <w:sz w:val="20"/>
          <w:lang w:val="de-DE"/>
        </w:rPr>
        <w:t>? Schränken diese etwa die Weiterverwertung in einem späteren Zeitpunk</w:t>
      </w:r>
      <w:r w:rsidR="00454F7C" w:rsidRPr="006170DB">
        <w:rPr>
          <w:rFonts w:ascii="Verdana" w:hAnsi="Verdana"/>
          <w:sz w:val="20"/>
          <w:lang w:val="de-DE"/>
        </w:rPr>
        <w:t>t ein?</w:t>
      </w:r>
      <w:r w:rsidR="00462250" w:rsidRPr="006170DB">
        <w:rPr>
          <w:rFonts w:ascii="Verdana" w:hAnsi="Verdana"/>
          <w:sz w:val="20"/>
          <w:lang w:val="de-DE"/>
        </w:rPr>
        <w:t xml:space="preserve"> Werden diese bei einem Weiterverkauf zwingend aufgedeckt und sind daher später ein Problem?</w:t>
      </w:r>
      <w:r w:rsidR="000D70A6">
        <w:rPr>
          <w:rFonts w:ascii="Verdana" w:hAnsi="Verdana"/>
          <w:sz w:val="20"/>
          <w:lang w:val="de-DE"/>
        </w:rPr>
        <w:t xml:space="preserve"> Hier wird regelmäßig eine Teilung des Risikos zwischen Verkäufer und Käufer vereinbart.</w:t>
      </w:r>
    </w:p>
    <w:p w:rsidR="00C93AC6"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Ist das SPV (die Gesellschaft, die nur die Liegenschaft samt Gebäude hält) auch wirklich </w:t>
      </w:r>
      <w:r w:rsidR="009E63D8">
        <w:rPr>
          <w:rFonts w:ascii="Verdana" w:hAnsi="Verdana"/>
          <w:sz w:val="20"/>
          <w:lang w:val="de-DE"/>
        </w:rPr>
        <w:t>"</w:t>
      </w:r>
      <w:r w:rsidRPr="006170DB">
        <w:rPr>
          <w:rFonts w:ascii="Verdana" w:hAnsi="Verdana"/>
          <w:sz w:val="20"/>
          <w:lang w:val="de-DE"/>
        </w:rPr>
        <w:t>sauber</w:t>
      </w:r>
      <w:r w:rsidR="009E63D8">
        <w:rPr>
          <w:rFonts w:ascii="Verdana" w:hAnsi="Verdana"/>
          <w:sz w:val="20"/>
          <w:lang w:val="de-DE"/>
        </w:rPr>
        <w:t>"</w:t>
      </w:r>
      <w:r w:rsidRPr="006170DB">
        <w:rPr>
          <w:rFonts w:ascii="Verdana" w:hAnsi="Verdana"/>
          <w:sz w:val="20"/>
          <w:lang w:val="de-DE"/>
        </w:rPr>
        <w:t>?</w:t>
      </w:r>
      <w:r w:rsidR="00B61799" w:rsidRPr="006170DB">
        <w:rPr>
          <w:rFonts w:ascii="Verdana" w:hAnsi="Verdana"/>
          <w:sz w:val="20"/>
          <w:lang w:val="de-DE"/>
        </w:rPr>
        <w:t xml:space="preserve"> Darf </w:t>
      </w:r>
      <w:r w:rsidR="0083039C" w:rsidRPr="006170DB">
        <w:rPr>
          <w:rFonts w:ascii="Verdana" w:hAnsi="Verdana"/>
          <w:sz w:val="20"/>
          <w:lang w:val="de-DE"/>
        </w:rPr>
        <w:t>man</w:t>
      </w:r>
      <w:r w:rsidR="00B61799" w:rsidRPr="006170DB">
        <w:rPr>
          <w:rFonts w:ascii="Verdana" w:hAnsi="Verdana"/>
          <w:sz w:val="20"/>
          <w:lang w:val="de-DE"/>
        </w:rPr>
        <w:t xml:space="preserve"> </w:t>
      </w:r>
      <w:r w:rsidR="00092EEE">
        <w:rPr>
          <w:rFonts w:ascii="Verdana" w:hAnsi="Verdana"/>
          <w:sz w:val="20"/>
          <w:lang w:val="de-DE"/>
        </w:rPr>
        <w:t xml:space="preserve">als Käufer </w:t>
      </w:r>
      <w:r w:rsidR="00B61799" w:rsidRPr="006170DB">
        <w:rPr>
          <w:rFonts w:ascii="Verdana" w:hAnsi="Verdana"/>
          <w:sz w:val="20"/>
          <w:lang w:val="de-DE"/>
        </w:rPr>
        <w:t>überhaupt einen Share Deal durchführen (offene/geschlossene Immobilienfonds)?</w:t>
      </w:r>
    </w:p>
    <w:p w:rsidR="00462250" w:rsidRPr="006170DB" w:rsidRDefault="0046225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Beim Share Deal braucht der Käufer meist weniger Liquidität, und zwar dann, wenn im SPV bereits eine Fremdfinanzierung "drin ist" und der Käufer diese übernimmt.</w:t>
      </w:r>
      <w:r w:rsidR="009E63D8">
        <w:rPr>
          <w:rFonts w:ascii="Verdana" w:hAnsi="Verdana"/>
          <w:sz w:val="20"/>
          <w:lang w:val="de-DE"/>
        </w:rPr>
        <w:t xml:space="preserve"> Allerdings enthalten die meisten Finanzierungsverträge change of control Klauseln, die der Bank einen Ausstieg ermöglichen.</w:t>
      </w:r>
    </w:p>
    <w:p w:rsidR="00462250" w:rsidRPr="006170DB" w:rsidRDefault="0046225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Share Deals sind betreffend die Durchführung aufgrund der komplexeren Strukturierung und der umfangreicheren Due Diligence aufwendiger und teurer.</w:t>
      </w:r>
    </w:p>
    <w:p w:rsidR="00A47977" w:rsidRDefault="00BB76A1"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Share Deal / Zwerganteil zur Vermeidung der GrESt wegen Anteilsvereinigung: </w:t>
      </w:r>
    </w:p>
    <w:p w:rsidR="00A47977"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bei der GmbH</w:t>
      </w:r>
      <w:r w:rsidR="00A47977">
        <w:rPr>
          <w:rFonts w:ascii="Verdana" w:hAnsi="Verdana"/>
          <w:sz w:val="20"/>
          <w:lang w:val="de-DE"/>
        </w:rPr>
        <w:t>:</w:t>
      </w:r>
      <w:r>
        <w:rPr>
          <w:rFonts w:ascii="Verdana" w:hAnsi="Verdana"/>
          <w:sz w:val="20"/>
          <w:lang w:val="de-DE"/>
        </w:rPr>
        <w:t xml:space="preserve"> 95 % der Anteile in einer Hand vereinigt; Treuhänder wird dem Treugeber zugerechnet. Zusammenrechnung nur mehr bei einer KöSt-Gruppe (klarer, weil hier ein positiver Akt zur Bildung erforderlich ist, während die USt-Gruppe durch faktische Erfordernisse definiert war und keines "Beschlusses" bedurfte). </w:t>
      </w:r>
    </w:p>
    <w:p w:rsidR="00092EEE"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Personengesellschaften</w:t>
      </w:r>
      <w:r w:rsidR="00A47977">
        <w:rPr>
          <w:rFonts w:ascii="Verdana" w:hAnsi="Verdana"/>
          <w:sz w:val="20"/>
          <w:lang w:val="de-DE"/>
        </w:rPr>
        <w:t>:</w:t>
      </w:r>
      <w:r>
        <w:rPr>
          <w:rFonts w:ascii="Verdana" w:hAnsi="Verdana"/>
          <w:sz w:val="20"/>
          <w:lang w:val="de-DE"/>
        </w:rPr>
        <w:t xml:space="preserve"> </w:t>
      </w:r>
      <w:r w:rsidR="00A47977">
        <w:rPr>
          <w:rFonts w:ascii="Verdana" w:hAnsi="Verdana"/>
          <w:sz w:val="20"/>
          <w:lang w:val="de-DE"/>
        </w:rPr>
        <w:t xml:space="preserve">sind jetzt auch </w:t>
      </w:r>
      <w:r>
        <w:rPr>
          <w:rFonts w:ascii="Verdana" w:hAnsi="Verdana"/>
          <w:sz w:val="20"/>
          <w:lang w:val="de-DE"/>
        </w:rPr>
        <w:t xml:space="preserve">erfasst – ebenfalls 95 %-Grenze, aber </w:t>
      </w:r>
      <w:r w:rsidR="00092EEE">
        <w:rPr>
          <w:rFonts w:ascii="Verdana" w:hAnsi="Verdana"/>
          <w:sz w:val="20"/>
          <w:lang w:val="de-DE"/>
        </w:rPr>
        <w:t xml:space="preserve">GrESt fällt an, wenn </w:t>
      </w:r>
      <w:r>
        <w:rPr>
          <w:rFonts w:ascii="Verdana" w:hAnsi="Verdana"/>
          <w:sz w:val="20"/>
          <w:lang w:val="de-DE"/>
        </w:rPr>
        <w:t>innerhalb von 5 Jahren</w:t>
      </w:r>
      <w:r w:rsidR="00092EEE">
        <w:rPr>
          <w:rFonts w:ascii="Verdana" w:hAnsi="Verdana"/>
          <w:sz w:val="20"/>
          <w:lang w:val="de-DE"/>
        </w:rPr>
        <w:t xml:space="preserve"> 95 % der Anteile übertragen werden (selbst wenn die Übertragung an mehrere Personen erfolgt und niemand mehr als 95 % aller Anteile besitzt)</w:t>
      </w:r>
      <w:r>
        <w:rPr>
          <w:rFonts w:ascii="Verdana" w:hAnsi="Verdana"/>
          <w:sz w:val="20"/>
          <w:lang w:val="de-DE"/>
        </w:rPr>
        <w:t xml:space="preserve">. </w:t>
      </w:r>
    </w:p>
    <w:p w:rsidR="00092EEE"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 xml:space="preserve">Prozentsatz </w:t>
      </w:r>
      <w:r w:rsidR="00092EEE">
        <w:rPr>
          <w:rFonts w:ascii="Verdana" w:hAnsi="Verdana"/>
          <w:sz w:val="20"/>
          <w:lang w:val="de-DE"/>
        </w:rPr>
        <w:t xml:space="preserve">der GrESt </w:t>
      </w:r>
      <w:r>
        <w:rPr>
          <w:rFonts w:ascii="Verdana" w:hAnsi="Verdana"/>
          <w:sz w:val="20"/>
          <w:lang w:val="de-DE"/>
        </w:rPr>
        <w:t>nur mehr 0,5 % vom Grundstückswert</w:t>
      </w:r>
      <w:r w:rsidR="00BB76A1" w:rsidRPr="006170DB">
        <w:rPr>
          <w:rFonts w:ascii="Verdana" w:hAnsi="Verdana"/>
          <w:sz w:val="20"/>
          <w:lang w:val="de-DE"/>
        </w:rPr>
        <w:t>.</w:t>
      </w:r>
      <w:r w:rsidR="00BB76A1">
        <w:rPr>
          <w:rFonts w:ascii="Verdana" w:hAnsi="Verdana"/>
          <w:sz w:val="20"/>
          <w:lang w:val="de-DE"/>
        </w:rPr>
        <w:t xml:space="preserve"> </w:t>
      </w:r>
    </w:p>
    <w:p w:rsidR="00BB76A1" w:rsidRDefault="00BB76A1"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Die Eintragungsgebühr wird</w:t>
      </w:r>
      <w:r w:rsidR="001C45BF">
        <w:rPr>
          <w:rFonts w:ascii="Verdana" w:hAnsi="Verdana"/>
          <w:sz w:val="20"/>
          <w:lang w:val="de-DE"/>
        </w:rPr>
        <w:t xml:space="preserve"> weiterhin</w:t>
      </w:r>
      <w:r>
        <w:rPr>
          <w:rFonts w:ascii="Verdana" w:hAnsi="Verdana"/>
          <w:sz w:val="20"/>
          <w:lang w:val="de-DE"/>
        </w:rPr>
        <w:t xml:space="preserve"> jedenfalls gespart.</w:t>
      </w:r>
    </w:p>
    <w:p w:rsidR="001C45BF" w:rsidRPr="006170DB" w:rsidRDefault="001C45BF" w:rsidP="00092EEE">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Vermeidung: Wechsel nicht direkt beim SPV, sondern auf der Ebene der Gesellschafter ("unmittelbar beteiligt"); persönlich haftender Gesellschafter bei KG hält über 5 % und wird mitverkauft (dann wechseln nur weniger als 95 % der Anteile); Zuwarten mit dem Erwerb der restlichen Anteile einer Personengesellschaft über fünf Jahre.</w:t>
      </w:r>
    </w:p>
    <w:p w:rsidR="00B61799" w:rsidRPr="00EF0ED1" w:rsidRDefault="006170DB" w:rsidP="009E5DC3">
      <w:pPr>
        <w:pStyle w:val="ListParagraph"/>
        <w:numPr>
          <w:ilvl w:val="0"/>
          <w:numId w:val="13"/>
        </w:numPr>
        <w:spacing w:before="240" w:after="60"/>
        <w:ind w:left="426" w:hanging="426"/>
        <w:rPr>
          <w:rFonts w:ascii="Verdana" w:hAnsi="Verdana"/>
          <w:b/>
          <w:sz w:val="20"/>
          <w:lang w:val="de-DE"/>
        </w:rPr>
      </w:pPr>
      <w:r w:rsidRPr="009E5DC3">
        <w:rPr>
          <w:rFonts w:ascii="Verdana" w:hAnsi="Verdana"/>
          <w:b/>
          <w:sz w:val="20"/>
          <w:lang w:val="en-US"/>
        </w:rPr>
        <w:t>WIRTSCHAFTLICHE</w:t>
      </w:r>
      <w:r w:rsidRPr="00EF0ED1">
        <w:rPr>
          <w:rFonts w:ascii="Verdana" w:hAnsi="Verdana"/>
          <w:b/>
          <w:sz w:val="20"/>
          <w:lang w:val="de-DE"/>
        </w:rPr>
        <w:t xml:space="preserve"> RISIKOBEREICHE</w:t>
      </w:r>
    </w:p>
    <w:p w:rsidR="00B61799" w:rsidRPr="006170DB" w:rsidRDefault="00B6179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ist bei einer voll</w:t>
      </w:r>
      <w:r w:rsidR="005A1709" w:rsidRPr="006170DB">
        <w:rPr>
          <w:rFonts w:ascii="Verdana" w:hAnsi="Verdana"/>
          <w:sz w:val="20"/>
          <w:lang w:val="de-DE"/>
        </w:rPr>
        <w:t xml:space="preserve"> </w:t>
      </w:r>
      <w:r w:rsidRPr="006170DB">
        <w:rPr>
          <w:rFonts w:ascii="Verdana" w:hAnsi="Verdana"/>
          <w:sz w:val="20"/>
          <w:lang w:val="de-DE"/>
        </w:rPr>
        <w:t xml:space="preserve">vermieteten Immobilie die </w:t>
      </w:r>
      <w:r w:rsidR="00EF0ED1">
        <w:rPr>
          <w:rFonts w:ascii="Verdana" w:hAnsi="Verdana"/>
          <w:sz w:val="20"/>
          <w:lang w:val="de-DE"/>
        </w:rPr>
        <w:t>Restlaufzeit</w:t>
      </w:r>
      <w:r w:rsidRPr="006170DB">
        <w:rPr>
          <w:rFonts w:ascii="Verdana" w:hAnsi="Verdana"/>
          <w:sz w:val="20"/>
          <w:lang w:val="de-DE"/>
        </w:rPr>
        <w:t xml:space="preserve"> der Mietverträge</w:t>
      </w:r>
      <w:r w:rsidR="00EF0ED1">
        <w:rPr>
          <w:rFonts w:ascii="Verdana" w:hAnsi="Verdana"/>
          <w:sz w:val="20"/>
          <w:lang w:val="de-DE"/>
        </w:rPr>
        <w:t xml:space="preserve"> (frühester Zeitpunkt, zu dem der Mieter kündigen kann)</w:t>
      </w:r>
      <w:r w:rsidRPr="006170DB">
        <w:rPr>
          <w:rFonts w:ascii="Verdana" w:hAnsi="Verdana"/>
          <w:sz w:val="20"/>
          <w:lang w:val="de-DE"/>
        </w:rPr>
        <w:t xml:space="preserve">? Sind die Mietverträge sehr kurz und muss </w:t>
      </w:r>
      <w:r w:rsidR="0083039C" w:rsidRPr="006170DB">
        <w:rPr>
          <w:rFonts w:ascii="Verdana" w:hAnsi="Verdana"/>
          <w:sz w:val="20"/>
          <w:lang w:val="de-DE"/>
        </w:rPr>
        <w:t>man</w:t>
      </w:r>
      <w:r w:rsidRPr="006170DB">
        <w:rPr>
          <w:rFonts w:ascii="Verdana" w:hAnsi="Verdana"/>
          <w:sz w:val="20"/>
          <w:lang w:val="de-DE"/>
        </w:rPr>
        <w:t xml:space="preserve"> daher damit rechnen, dass</w:t>
      </w:r>
      <w:r w:rsidR="0083039C" w:rsidRPr="006170DB">
        <w:rPr>
          <w:rFonts w:ascii="Verdana" w:hAnsi="Verdana"/>
          <w:sz w:val="20"/>
          <w:lang w:val="de-DE"/>
        </w:rPr>
        <w:t xml:space="preserve"> man sich selbst in K</w:t>
      </w:r>
      <w:r w:rsidRPr="006170DB">
        <w:rPr>
          <w:rFonts w:ascii="Verdana" w:hAnsi="Verdana"/>
          <w:sz w:val="20"/>
          <w:lang w:val="de-DE"/>
        </w:rPr>
        <w:t>ürze um neue Mieter kümmern muss?</w:t>
      </w:r>
    </w:p>
    <w:p w:rsidR="00B61799" w:rsidRPr="006170DB" w:rsidRDefault="00B6179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Wie sieht es mit der Befristung und der Kündigungsmöglichkeit </w:t>
      </w:r>
      <w:r w:rsidR="00EB0A5B" w:rsidRPr="006170DB">
        <w:rPr>
          <w:rFonts w:ascii="Verdana" w:hAnsi="Verdana"/>
          <w:sz w:val="20"/>
          <w:lang w:val="de-DE"/>
        </w:rPr>
        <w:t xml:space="preserve">bei den Mietverträgen aus? Besteht vielleicht die Gefahr, dass </w:t>
      </w:r>
      <w:r w:rsidR="0083039C" w:rsidRPr="006170DB">
        <w:rPr>
          <w:rFonts w:ascii="Verdana" w:hAnsi="Verdana"/>
          <w:sz w:val="20"/>
          <w:lang w:val="de-DE"/>
        </w:rPr>
        <w:t xml:space="preserve">man </w:t>
      </w:r>
      <w:r w:rsidR="00EB0A5B" w:rsidRPr="006170DB">
        <w:rPr>
          <w:rFonts w:ascii="Verdana" w:hAnsi="Verdana"/>
          <w:sz w:val="20"/>
          <w:lang w:val="de-DE"/>
        </w:rPr>
        <w:t>Mieter, die nur einen geringen Mietzins zahlen, nicht a</w:t>
      </w:r>
      <w:r w:rsidR="0083039C" w:rsidRPr="006170DB">
        <w:rPr>
          <w:rFonts w:ascii="Verdana" w:hAnsi="Verdana"/>
          <w:sz w:val="20"/>
          <w:lang w:val="de-DE"/>
        </w:rPr>
        <w:t>us dem Mietobjekt hinaus bekommt</w:t>
      </w:r>
      <w:r w:rsidR="00EB0A5B" w:rsidRPr="006170DB">
        <w:rPr>
          <w:rFonts w:ascii="Verdana" w:hAnsi="Verdana"/>
          <w:sz w:val="20"/>
          <w:lang w:val="de-DE"/>
        </w:rPr>
        <w:t xml:space="preserve">? </w:t>
      </w:r>
      <w:r w:rsidR="00FE2758">
        <w:rPr>
          <w:rFonts w:ascii="Verdana" w:hAnsi="Verdana"/>
          <w:sz w:val="20"/>
          <w:lang w:val="de-DE"/>
        </w:rPr>
        <w:t>In der Vergangenheit galt</w:t>
      </w:r>
      <w:r w:rsidR="00EB0A5B" w:rsidRPr="006170DB">
        <w:rPr>
          <w:rFonts w:ascii="Verdana" w:hAnsi="Verdana"/>
          <w:sz w:val="20"/>
          <w:lang w:val="de-DE"/>
        </w:rPr>
        <w:t xml:space="preserve"> der </w:t>
      </w:r>
      <w:r w:rsidR="0083039C" w:rsidRPr="006170DB">
        <w:rPr>
          <w:rFonts w:ascii="Verdana" w:hAnsi="Verdana"/>
          <w:sz w:val="20"/>
          <w:lang w:val="de-DE"/>
        </w:rPr>
        <w:t>"</w:t>
      </w:r>
      <w:r w:rsidR="00EB0A5B" w:rsidRPr="006170DB">
        <w:rPr>
          <w:rFonts w:ascii="Verdana" w:hAnsi="Verdana"/>
          <w:sz w:val="20"/>
          <w:lang w:val="de-DE"/>
        </w:rPr>
        <w:t>Grundsatz</w:t>
      </w:r>
      <w:r w:rsidR="0083039C" w:rsidRPr="006170DB">
        <w:rPr>
          <w:rFonts w:ascii="Verdana" w:hAnsi="Verdana"/>
          <w:sz w:val="20"/>
          <w:lang w:val="de-DE"/>
        </w:rPr>
        <w:t>"</w:t>
      </w:r>
      <w:r w:rsidR="00EB0A5B" w:rsidRPr="006170DB">
        <w:rPr>
          <w:rFonts w:ascii="Verdana" w:hAnsi="Verdana"/>
          <w:sz w:val="20"/>
          <w:lang w:val="de-DE"/>
        </w:rPr>
        <w:t xml:space="preserve">, dass der Mietpreis schneller als die Inflation steigt: kann </w:t>
      </w:r>
      <w:r w:rsidR="0083039C" w:rsidRPr="006170DB">
        <w:rPr>
          <w:rFonts w:ascii="Verdana" w:hAnsi="Verdana"/>
          <w:sz w:val="20"/>
          <w:lang w:val="de-DE"/>
        </w:rPr>
        <w:t>man</w:t>
      </w:r>
      <w:r w:rsidR="00EB0A5B" w:rsidRPr="006170DB">
        <w:rPr>
          <w:rFonts w:ascii="Verdana" w:hAnsi="Verdana"/>
          <w:sz w:val="20"/>
          <w:lang w:val="de-DE"/>
        </w:rPr>
        <w:t xml:space="preserve"> alte Mieter </w:t>
      </w:r>
      <w:r w:rsidR="00EE49AC" w:rsidRPr="006170DB">
        <w:rPr>
          <w:rFonts w:ascii="Verdana" w:hAnsi="Verdana"/>
          <w:sz w:val="20"/>
          <w:lang w:val="de-DE"/>
        </w:rPr>
        <w:t>kündigen</w:t>
      </w:r>
      <w:r w:rsidR="00EB0A5B" w:rsidRPr="006170DB">
        <w:rPr>
          <w:rFonts w:ascii="Verdana" w:hAnsi="Verdana"/>
          <w:sz w:val="20"/>
          <w:lang w:val="de-DE"/>
        </w:rPr>
        <w:t xml:space="preserve"> und neue Mieter </w:t>
      </w:r>
      <w:r w:rsidR="00EF0ED1">
        <w:rPr>
          <w:rFonts w:ascii="Verdana" w:hAnsi="Verdana"/>
          <w:sz w:val="20"/>
          <w:lang w:val="de-DE"/>
        </w:rPr>
        <w:t xml:space="preserve">mit höheren Mieten </w:t>
      </w:r>
      <w:r w:rsidR="00EB0A5B" w:rsidRPr="006170DB">
        <w:rPr>
          <w:rFonts w:ascii="Verdana" w:hAnsi="Verdana"/>
          <w:sz w:val="20"/>
          <w:lang w:val="de-DE"/>
        </w:rPr>
        <w:t>bekommen</w:t>
      </w:r>
      <w:r w:rsidR="00EF0ED1">
        <w:rPr>
          <w:rFonts w:ascii="Verdana" w:hAnsi="Verdana"/>
          <w:sz w:val="20"/>
          <w:lang w:val="de-DE"/>
        </w:rPr>
        <w:t xml:space="preserve"> (bzw mit den alten Mietern eine Verlängerung zu einem höheren Mietzins vereinbaren)</w:t>
      </w:r>
      <w:r w:rsidR="00EB0A5B" w:rsidRPr="006170DB">
        <w:rPr>
          <w:rFonts w:ascii="Verdana" w:hAnsi="Verdana"/>
          <w:sz w:val="20"/>
          <w:lang w:val="de-DE"/>
        </w:rPr>
        <w:t xml:space="preserve">? </w:t>
      </w:r>
      <w:r w:rsidR="009E63D8">
        <w:rPr>
          <w:rFonts w:ascii="Verdana" w:hAnsi="Verdana"/>
          <w:sz w:val="20"/>
          <w:lang w:val="de-DE"/>
        </w:rPr>
        <w:t>Hat man die Chance, das Gebäude für eine grundlegende Renovierung zur Gänze leer zu bekommen?</w:t>
      </w:r>
    </w:p>
    <w:p w:rsidR="009142F6" w:rsidRPr="006170DB" w:rsidRDefault="009142F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Wird es leicht sein, für die Immobilie neue Mieter zu finden</w:t>
      </w:r>
      <w:r w:rsidR="006170DB">
        <w:rPr>
          <w:rFonts w:ascii="Verdana" w:hAnsi="Verdana"/>
          <w:sz w:val="20"/>
          <w:lang w:val="de-DE"/>
        </w:rPr>
        <w:t>, sobald die alten Mietverträge auslaufen</w:t>
      </w:r>
      <w:r w:rsidRPr="006170DB">
        <w:rPr>
          <w:rFonts w:ascii="Verdana" w:hAnsi="Verdana"/>
          <w:sz w:val="20"/>
          <w:lang w:val="de-DE"/>
        </w:rPr>
        <w:t xml:space="preserve">? </w:t>
      </w:r>
      <w:r w:rsidR="00EF0ED1">
        <w:rPr>
          <w:rFonts w:ascii="Verdana" w:hAnsi="Verdana"/>
          <w:sz w:val="20"/>
          <w:lang w:val="de-DE"/>
        </w:rPr>
        <w:t>Sind die derzeitigen Mieten auch bei einer Neuvermietung wieder zu erzielen</w:t>
      </w:r>
      <w:r w:rsidR="00AB7619">
        <w:rPr>
          <w:rFonts w:ascii="Verdana" w:hAnsi="Verdana"/>
          <w:sz w:val="20"/>
          <w:lang w:val="de-DE"/>
        </w:rPr>
        <w:t xml:space="preserve"> (eventuell sogar zu steigern)</w:t>
      </w:r>
      <w:r w:rsidR="00EF0ED1">
        <w:rPr>
          <w:rFonts w:ascii="Verdana" w:hAnsi="Verdana"/>
          <w:sz w:val="20"/>
          <w:lang w:val="de-DE"/>
        </w:rPr>
        <w:t xml:space="preserve"> oder muss man hier mit Abschlägen rechnen?</w:t>
      </w:r>
    </w:p>
    <w:p w:rsidR="009142F6" w:rsidRPr="006170DB" w:rsidRDefault="009142F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Hat ein Mieter sich bereit erklärt, einen dermaßen hohen Mietzins zu zahlen, dass es unrealistisch ist, bei einem Nachmieter den gleich hohen Mietzins zu erzielen, wird der Käufer nicht bereit sein, diesen hohen Mietertrag </w:t>
      </w:r>
      <w:r w:rsidR="009E63D8">
        <w:rPr>
          <w:rFonts w:ascii="Verdana" w:hAnsi="Verdana"/>
          <w:sz w:val="20"/>
          <w:lang w:val="de-DE"/>
        </w:rPr>
        <w:t xml:space="preserve">zur Gänze </w:t>
      </w:r>
      <w:r w:rsidRPr="006170DB">
        <w:rPr>
          <w:rFonts w:ascii="Verdana" w:hAnsi="Verdana"/>
          <w:sz w:val="20"/>
          <w:lang w:val="de-DE"/>
        </w:rPr>
        <w:t>in die Kaufpreisberechnung einfließen zu lassen, weil er davon ausgeht, dass dieser hohe Mietertrag nur kurzfristig ist.</w:t>
      </w:r>
    </w:p>
    <w:p w:rsidR="00AB7619" w:rsidRPr="006170DB" w:rsidRDefault="00AB761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wird sich der Mietpreis entwickeln? Erfahrung aus der Vergangenheit: Mietniveau steigt tendenziell schneller als der VPI.</w:t>
      </w:r>
    </w:p>
    <w:p w:rsidR="004C041A" w:rsidRPr="006170DB" w:rsidRDefault="004C041A"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Wertsicherung: Es ist wichtig, die Systematik der Wertsicherung zu verstehen. Zugeständnisse bei der VPI Berechnung können über eine längere Laufzeit sehr teuer werden</w:t>
      </w:r>
      <w:r w:rsidR="00FE2758">
        <w:rPr>
          <w:rFonts w:ascii="Verdana" w:hAnsi="Verdana"/>
          <w:sz w:val="20"/>
          <w:lang w:val="de-DE"/>
        </w:rPr>
        <w:t xml:space="preserve"> (Schwellen, nur anteilige Anpassung).</w:t>
      </w:r>
    </w:p>
    <w:p w:rsidR="004C041A" w:rsidRPr="006170DB" w:rsidRDefault="004C041A"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Mieterwechsel: Als Vermieter muss man damit rechnen, bei einem Mieterwechsel einen Mietentgang</w:t>
      </w:r>
      <w:r w:rsidR="006540D2">
        <w:rPr>
          <w:rFonts w:ascii="Verdana" w:hAnsi="Verdana"/>
          <w:sz w:val="20"/>
          <w:lang w:val="de-DE"/>
        </w:rPr>
        <w:t>/Kosten (für Leerstand, Makler, Renovierungskosten, mietfreie Zeit)</w:t>
      </w:r>
      <w:r w:rsidRPr="006170DB">
        <w:rPr>
          <w:rFonts w:ascii="Verdana" w:hAnsi="Verdana"/>
          <w:sz w:val="20"/>
          <w:lang w:val="de-DE"/>
        </w:rPr>
        <w:t xml:space="preserve"> bis zu </w:t>
      </w:r>
      <w:r w:rsidR="009E63D8">
        <w:rPr>
          <w:rFonts w:ascii="Verdana" w:hAnsi="Verdana"/>
          <w:sz w:val="20"/>
          <w:lang w:val="de-DE"/>
        </w:rPr>
        <w:t>mehreren Monats</w:t>
      </w:r>
      <w:r w:rsidRPr="006170DB">
        <w:rPr>
          <w:rFonts w:ascii="Verdana" w:hAnsi="Verdana"/>
          <w:sz w:val="20"/>
          <w:lang w:val="de-DE"/>
        </w:rPr>
        <w:t>miete</w:t>
      </w:r>
      <w:r w:rsidR="009E63D8">
        <w:rPr>
          <w:rFonts w:ascii="Verdana" w:hAnsi="Verdana"/>
          <w:sz w:val="20"/>
          <w:lang w:val="de-DE"/>
        </w:rPr>
        <w:t>n</w:t>
      </w:r>
      <w:r w:rsidRPr="006170DB">
        <w:rPr>
          <w:rFonts w:ascii="Verdana" w:hAnsi="Verdana"/>
          <w:sz w:val="20"/>
          <w:lang w:val="de-DE"/>
        </w:rPr>
        <w:t xml:space="preserve"> zu haben.</w:t>
      </w:r>
    </w:p>
    <w:p w:rsidR="009142F6" w:rsidRPr="006540D2" w:rsidRDefault="006170DB" w:rsidP="009E5DC3">
      <w:pPr>
        <w:pStyle w:val="ListParagraph"/>
        <w:numPr>
          <w:ilvl w:val="0"/>
          <w:numId w:val="13"/>
        </w:numPr>
        <w:spacing w:before="240" w:after="60"/>
        <w:ind w:left="426" w:hanging="426"/>
        <w:rPr>
          <w:rFonts w:ascii="Verdana" w:hAnsi="Verdana"/>
          <w:b/>
          <w:sz w:val="20"/>
          <w:lang w:val="de-DE"/>
        </w:rPr>
      </w:pPr>
      <w:r w:rsidRPr="006540D2">
        <w:rPr>
          <w:rFonts w:ascii="Verdana" w:hAnsi="Verdana"/>
          <w:b/>
          <w:sz w:val="20"/>
          <w:lang w:val="de-DE"/>
        </w:rPr>
        <w:t>FÜR UNVERBAUTE LIEGENSCHAFTEN</w:t>
      </w:r>
    </w:p>
    <w:p w:rsidR="00092EEE" w:rsidRDefault="004F7DF4" w:rsidP="009E5DC3">
      <w:pPr>
        <w:spacing w:before="240" w:after="60"/>
        <w:ind w:left="442"/>
        <w:rPr>
          <w:rFonts w:ascii="Verdana" w:hAnsi="Verdana"/>
          <w:sz w:val="20"/>
          <w:lang w:val="de-DE"/>
        </w:rPr>
      </w:pPr>
      <w:r w:rsidRPr="006170DB">
        <w:rPr>
          <w:rFonts w:ascii="Verdana" w:hAnsi="Verdana"/>
          <w:sz w:val="20"/>
          <w:lang w:val="de-DE"/>
        </w:rPr>
        <w:t>Der Developer schaut sich zu allererst an, was er mit einer Liegenschaft machen kann. Hierfür sind vor allem die Bebauungsdichte und Bauklasse maßgeblich, woraus sich dann die Nutzfläche ergibt. Die Nutzfläche multipliziert mit der erwarteten Miete abzüglich der zu erwartenden Kosten gibt den ersten Anhaltspunkt für den Kaufpreis.</w:t>
      </w:r>
    </w:p>
    <w:p w:rsidR="00AE4774" w:rsidRDefault="00092EEE" w:rsidP="009E5DC3">
      <w:pPr>
        <w:spacing w:before="240" w:after="60"/>
        <w:ind w:left="442"/>
        <w:rPr>
          <w:rFonts w:ascii="Verdana" w:hAnsi="Verdana"/>
          <w:sz w:val="20"/>
          <w:lang w:val="de-DE"/>
        </w:rPr>
      </w:pPr>
      <w:r>
        <w:rPr>
          <w:rFonts w:ascii="Verdana" w:hAnsi="Verdana"/>
          <w:sz w:val="20"/>
          <w:lang w:val="de-DE"/>
        </w:rPr>
        <w:t>Wenn der Markt sehr gut läuft, kommt es auch wieder zu so genannten "Forward Deals", bei denen der Kaufvertrag bereits abgeschlossen wird, wenn gerade die Baubewilligung vorliegt oder zumindest deren Erlangung unmittelbar bevorsteht. Der Verkäufer verpflichtet sich dann, wenn entsprechend definiertes Gebäude zu errichten und zu definierten Konditionen zu vermieten. Wenn diese Voraussetzungen alle eingetreten sind, ist der Kaufpreis zu bezahlen und wird das Eigentum an der Liegenschaft übertragen. Hier verpflichten sich die Käufer somit, einen nach den jetzigen Werten berechneten Kaufpreis in ca. 2 Jahren (nach Ende der Bauzeit) zu bezahlen. Diese Langfristigkeit erhöht für beide Seiten die Unsicherheit (Kann der Käufer dann noch den Kaufpreis bezahlen? Wird der Verkäufer das Gebäude ordnungsgemäß und fristgerecht errichten?)</w:t>
      </w:r>
    </w:p>
    <w:p w:rsidR="00227104" w:rsidRPr="00324500" w:rsidRDefault="00227104" w:rsidP="00227104">
      <w:pPr>
        <w:pStyle w:val="ListParagraph"/>
        <w:numPr>
          <w:ilvl w:val="0"/>
          <w:numId w:val="13"/>
        </w:numPr>
        <w:spacing w:before="240" w:after="60"/>
        <w:ind w:left="426" w:hanging="426"/>
        <w:rPr>
          <w:rFonts w:ascii="Verdana" w:hAnsi="Verdana"/>
          <w:b/>
          <w:sz w:val="20"/>
          <w:lang w:val="de-DE"/>
        </w:rPr>
      </w:pPr>
      <w:r w:rsidRPr="00324500">
        <w:rPr>
          <w:rFonts w:ascii="Verdana" w:hAnsi="Verdana"/>
          <w:b/>
          <w:sz w:val="20"/>
          <w:lang w:val="de-DE"/>
        </w:rPr>
        <w:t>LOI</w:t>
      </w:r>
    </w:p>
    <w:p w:rsidR="00227104" w:rsidRPr="006170DB" w:rsidRDefault="00227104" w:rsidP="00227104">
      <w:pPr>
        <w:rPr>
          <w:rFonts w:ascii="Verdana" w:hAnsi="Verdana"/>
          <w:sz w:val="20"/>
          <w:lang w:val="de-DE"/>
        </w:rPr>
      </w:pPr>
    </w:p>
    <w:p w:rsidR="00227104" w:rsidRPr="006170DB" w:rsidRDefault="00227104" w:rsidP="00227104">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Was ist ein LOI? Wie ist er rechtlich zu beurteilen</w:t>
      </w:r>
      <w:r>
        <w:rPr>
          <w:rFonts w:ascii="Verdana" w:hAnsi="Verdana"/>
          <w:sz w:val="20"/>
          <w:lang w:val="de-DE"/>
        </w:rPr>
        <w:t xml:space="preserve"> (regelmäßig noch kein Vorvertrag bzw. keine Punktation, aus der auf die Erfüllung der Hauptleistung geklagt werden kann, sondern eine Absichtserklärung hinsichtlich der Hauptleistungspflichten mit bindenden Elementen hinsichtlich der weiteren Vertragsverhandlungen)</w:t>
      </w:r>
      <w:r w:rsidRPr="006170DB">
        <w:rPr>
          <w:rFonts w:ascii="Verdana" w:hAnsi="Verdana"/>
          <w:sz w:val="20"/>
          <w:lang w:val="de-DE"/>
        </w:rPr>
        <w:t>?</w:t>
      </w:r>
      <w:r w:rsidRPr="00FE2758">
        <w:rPr>
          <w:rFonts w:ascii="Verdana" w:hAnsi="Verdana"/>
          <w:sz w:val="20"/>
          <w:lang w:val="de-DE"/>
        </w:rPr>
        <w:t xml:space="preserve"> </w:t>
      </w:r>
      <w:r w:rsidRPr="006170DB">
        <w:rPr>
          <w:rFonts w:ascii="Verdana" w:hAnsi="Verdana"/>
          <w:sz w:val="20"/>
          <w:lang w:val="de-DE"/>
        </w:rPr>
        <w:t>Entfaltet er Bindungswirkung?</w:t>
      </w:r>
    </w:p>
    <w:p w:rsidR="00227104" w:rsidRPr="006170DB" w:rsidRDefault="00227104" w:rsidP="00227104">
      <w:pPr>
        <w:tabs>
          <w:tab w:val="num" w:pos="440"/>
        </w:tabs>
        <w:ind w:left="440" w:hanging="440"/>
        <w:rPr>
          <w:rFonts w:ascii="Verdana" w:hAnsi="Verdana"/>
          <w:sz w:val="20"/>
          <w:lang w:val="de-DE"/>
        </w:rPr>
      </w:pPr>
    </w:p>
    <w:p w:rsidR="00227104" w:rsidRPr="006170DB" w:rsidRDefault="00227104" w:rsidP="00227104">
      <w:pPr>
        <w:numPr>
          <w:ilvl w:val="0"/>
          <w:numId w:val="11"/>
        </w:numPr>
        <w:tabs>
          <w:tab w:val="clear" w:pos="720"/>
          <w:tab w:val="num" w:pos="440"/>
        </w:tabs>
        <w:ind w:left="440" w:hanging="440"/>
        <w:rPr>
          <w:rFonts w:ascii="Verdana" w:hAnsi="Verdana"/>
          <w:b/>
          <w:sz w:val="20"/>
          <w:lang w:val="de-DE"/>
        </w:rPr>
      </w:pPr>
      <w:r>
        <w:rPr>
          <w:rFonts w:ascii="Verdana" w:hAnsi="Verdana"/>
          <w:sz w:val="20"/>
          <w:lang w:val="de-DE"/>
        </w:rPr>
        <w:t>Exklusivität, Vertraulichkeit, Gerichtsstand, anwendbares Recht regelmäßig bindend vereinbart; Rest bloße Absichtserklärung, aber Verstärkung der Pflichten aus CiC.</w:t>
      </w:r>
    </w:p>
    <w:p w:rsidR="00227104" w:rsidRPr="006170DB" w:rsidRDefault="00227104" w:rsidP="00227104">
      <w:pPr>
        <w:tabs>
          <w:tab w:val="num" w:pos="440"/>
        </w:tabs>
        <w:ind w:left="440" w:hanging="440"/>
        <w:rPr>
          <w:rFonts w:ascii="Verdana" w:hAnsi="Verdana"/>
          <w:sz w:val="20"/>
          <w:lang w:val="de-DE"/>
        </w:rPr>
      </w:pPr>
    </w:p>
    <w:p w:rsidR="00227104" w:rsidRPr="006170DB" w:rsidRDefault="00227104" w:rsidP="00227104">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Was ist sein typischer Inhalt? Welche Sanktionen sind zu erwarten, wenn eine der Parteien sich nicht daran</w:t>
      </w:r>
      <w:r>
        <w:rPr>
          <w:rFonts w:ascii="Verdana" w:hAnsi="Verdana"/>
          <w:sz w:val="20"/>
          <w:lang w:val="de-DE"/>
        </w:rPr>
        <w:t xml:space="preserve"> </w:t>
      </w:r>
      <w:bookmarkStart w:id="0" w:name="_GoBack"/>
      <w:bookmarkEnd w:id="0"/>
      <w:r w:rsidRPr="006170DB">
        <w:rPr>
          <w:rFonts w:ascii="Verdana" w:hAnsi="Verdana"/>
          <w:sz w:val="20"/>
          <w:lang w:val="de-DE"/>
        </w:rPr>
        <w:t xml:space="preserve">hält? </w:t>
      </w:r>
    </w:p>
    <w:p w:rsidR="00227104" w:rsidRPr="006170DB" w:rsidRDefault="00227104" w:rsidP="00227104">
      <w:pPr>
        <w:tabs>
          <w:tab w:val="num" w:pos="440"/>
        </w:tabs>
        <w:ind w:left="440" w:hanging="440"/>
        <w:rPr>
          <w:rFonts w:ascii="Verdana" w:hAnsi="Verdana"/>
          <w:sz w:val="20"/>
          <w:lang w:val="de-DE"/>
        </w:rPr>
      </w:pPr>
    </w:p>
    <w:p w:rsidR="00227104" w:rsidRPr="006170DB" w:rsidRDefault="00227104" w:rsidP="00227104">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Üblicher Aufbau:</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Einleitung</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Bezeichnung der Vertragspartner</w:t>
      </w:r>
      <w:r>
        <w:rPr>
          <w:rFonts w:ascii="Verdana" w:hAnsi="Verdana"/>
          <w:sz w:val="20"/>
          <w:lang w:val="de-DE"/>
        </w:rPr>
        <w:t xml:space="preserve"> (Achtung: Unterschiedliche Verkäufer bei Asset Deal und Share Deal – möglicherweise ist der endgültige Käufer auch erst ein zu gründendes SPV – es muss klargestellt sein, wer jetzt die bindenden Verpflichtungen aus dem LOI übernimmt und wen die Pflichten aus CiC treffen)</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Beschreibung des Kaufgegenstands</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Bewertung des Kaufgegenstands (die grobe Bewertung wird zwischen den Parteien meist schon vor Abgabe des LOI verhandelt</w:t>
      </w:r>
      <w:r>
        <w:rPr>
          <w:rFonts w:ascii="Verdana" w:hAnsi="Verdana"/>
          <w:sz w:val="20"/>
          <w:lang w:val="de-DE"/>
        </w:rPr>
        <w:t>, aber im LOI findet sich bereits die Formel für die Kaufpreisberechnung unter der Annahme, dass die bisher vorhandenen Informationen über den Gebäudezustand und die Mietverhältnisse zutreffend sind</w:t>
      </w:r>
      <w:r w:rsidRPr="006170DB">
        <w:rPr>
          <w:rFonts w:ascii="Verdana" w:hAnsi="Verdana"/>
          <w:sz w:val="20"/>
          <w:lang w:val="de-DE"/>
        </w:rPr>
        <w:t>)</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Bedingungen</w:t>
      </w:r>
      <w:r>
        <w:rPr>
          <w:rFonts w:ascii="Verdana" w:hAnsi="Verdana"/>
          <w:sz w:val="20"/>
          <w:lang w:val="de-DE"/>
        </w:rPr>
        <w:t xml:space="preserve"> – definieren CiC näher als im Gesetz vorgegeben, auch wenn meist immer noch Raum für Interpretationen bleibt (meist bewusst)</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Angaben zur Finanzierung</w:t>
      </w:r>
      <w:r>
        <w:rPr>
          <w:rFonts w:ascii="Verdana" w:hAnsi="Verdana"/>
          <w:sz w:val="20"/>
          <w:lang w:val="de-DE"/>
        </w:rPr>
        <w:t xml:space="preserve"> (derzeit ist wieder ein Verkäufermarkt, so dass die Käufer nur dann eine realistische Chance haben, wenn sie die Finanzierung bereits zu Beginn der Verhandlungen gesichert haben)</w:t>
      </w:r>
    </w:p>
    <w:p w:rsidR="00227104" w:rsidRDefault="00227104" w:rsidP="00227104">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zeitlicher Ablauf</w:t>
      </w:r>
      <w:r w:rsidRPr="006540D2">
        <w:rPr>
          <w:rFonts w:ascii="Verdana" w:hAnsi="Verdana"/>
          <w:sz w:val="20"/>
          <w:lang w:val="de-DE"/>
        </w:rPr>
        <w:t xml:space="preserve"> </w:t>
      </w:r>
      <w:r>
        <w:rPr>
          <w:rFonts w:ascii="Verdana" w:hAnsi="Verdana"/>
          <w:sz w:val="20"/>
          <w:lang w:val="de-DE"/>
        </w:rPr>
        <w:t xml:space="preserve">- </w:t>
      </w:r>
      <w:r w:rsidRPr="006170DB">
        <w:rPr>
          <w:rFonts w:ascii="Verdana" w:hAnsi="Verdana"/>
          <w:sz w:val="20"/>
          <w:lang w:val="de-DE"/>
        </w:rPr>
        <w:t>Due Diligence</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Exklusivität (diese</w:t>
      </w:r>
      <w:r>
        <w:rPr>
          <w:rFonts w:ascii="Verdana" w:hAnsi="Verdana"/>
          <w:sz w:val="20"/>
          <w:lang w:val="de-DE"/>
        </w:rPr>
        <w:t>r Punkt</w:t>
      </w:r>
      <w:r w:rsidRPr="006170DB">
        <w:rPr>
          <w:rFonts w:ascii="Verdana" w:hAnsi="Verdana"/>
          <w:sz w:val="20"/>
          <w:lang w:val="de-DE"/>
        </w:rPr>
        <w:t xml:space="preserve"> </w:t>
      </w:r>
      <w:r>
        <w:rPr>
          <w:rFonts w:ascii="Verdana" w:hAnsi="Verdana"/>
          <w:sz w:val="20"/>
          <w:lang w:val="de-DE"/>
        </w:rPr>
        <w:t>und die Vertraulichkeit sind</w:t>
      </w:r>
      <w:r w:rsidRPr="006170DB">
        <w:rPr>
          <w:rFonts w:ascii="Verdana" w:hAnsi="Verdana"/>
          <w:sz w:val="20"/>
          <w:lang w:val="de-DE"/>
        </w:rPr>
        <w:t xml:space="preserve"> in der Regel ausdrücklich verbindlich und werden </w:t>
      </w:r>
      <w:r>
        <w:rPr>
          <w:rFonts w:ascii="Verdana" w:hAnsi="Verdana"/>
          <w:sz w:val="20"/>
          <w:lang w:val="de-DE"/>
        </w:rPr>
        <w:t xml:space="preserve">häufig auch </w:t>
      </w:r>
      <w:r w:rsidRPr="006170DB">
        <w:rPr>
          <w:rFonts w:ascii="Verdana" w:hAnsi="Verdana"/>
          <w:sz w:val="20"/>
          <w:lang w:val="de-DE"/>
        </w:rPr>
        <w:t>durch eine Vertragsstrafe abgesichert)</w:t>
      </w:r>
    </w:p>
    <w:p w:rsidR="00227104" w:rsidRDefault="00227104" w:rsidP="00227104">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Vertraulichkeit</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Berater und deren Kosten</w:t>
      </w:r>
    </w:p>
    <w:p w:rsidR="00227104" w:rsidRDefault="00227104" w:rsidP="00227104">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Angaben zur Bindungswirkung</w:t>
      </w:r>
    </w:p>
    <w:p w:rsidR="00227104" w:rsidRPr="006170DB" w:rsidRDefault="00227104" w:rsidP="00227104">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Gerichtsstand, anwendbares Recht</w:t>
      </w:r>
    </w:p>
    <w:p w:rsidR="00227104" w:rsidRDefault="00227104" w:rsidP="009E5DC3">
      <w:pPr>
        <w:spacing w:before="240" w:after="60"/>
        <w:ind w:left="442"/>
        <w:rPr>
          <w:rFonts w:ascii="Verdana" w:hAnsi="Verdana"/>
          <w:sz w:val="20"/>
          <w:lang w:val="de-DE"/>
        </w:rPr>
      </w:pPr>
    </w:p>
    <w:sectPr w:rsidR="00227104" w:rsidSect="006170D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985"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D1" w:rsidRDefault="00EF0ED1">
      <w:r>
        <w:separator/>
      </w:r>
    </w:p>
  </w:endnote>
  <w:endnote w:type="continuationSeparator" w:id="0">
    <w:p w:rsidR="00EF0ED1" w:rsidRDefault="00E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E9" w:rsidRDefault="0087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E9" w:rsidRDefault="00872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E9" w:rsidRDefault="0087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D1" w:rsidRDefault="00EF0ED1">
      <w:r>
        <w:separator/>
      </w:r>
    </w:p>
  </w:footnote>
  <w:footnote w:type="continuationSeparator" w:id="0">
    <w:p w:rsidR="00EF0ED1" w:rsidRDefault="00EF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D1" w:rsidRDefault="001C45BF">
    <w:pPr>
      <w:framePr w:wrap="around" w:vAnchor="text" w:hAnchor="margin" w:xAlign="center" w:y="1"/>
    </w:pPr>
    <w:r>
      <w:fldChar w:fldCharType="begin"/>
    </w:r>
    <w:r>
      <w:instrText xml:space="preserve">PAGE  </w:instrText>
    </w:r>
    <w:r>
      <w:fldChar w:fldCharType="separate"/>
    </w:r>
    <w:r w:rsidR="00EF0ED1">
      <w:rPr>
        <w:noProof/>
      </w:rPr>
      <w:t>1</w:t>
    </w:r>
    <w:r>
      <w:rPr>
        <w:noProof/>
      </w:rPr>
      <w:fldChar w:fldCharType="end"/>
    </w:r>
  </w:p>
  <w:p w:rsidR="00EF0ED1" w:rsidRDefault="00EF0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D1" w:rsidRPr="00BB76A1" w:rsidRDefault="00EF0ED1">
    <w:pPr>
      <w:jc w:val="center"/>
      <w:rPr>
        <w:rFonts w:ascii="Verdana" w:hAnsi="Verdana"/>
        <w:sz w:val="16"/>
        <w:szCs w:val="16"/>
      </w:rPr>
    </w:pPr>
    <w:r w:rsidRPr="00BB76A1">
      <w:rPr>
        <w:rFonts w:ascii="Verdana" w:hAnsi="Verdana"/>
        <w:snapToGrid w:val="0"/>
        <w:sz w:val="16"/>
        <w:szCs w:val="16"/>
      </w:rPr>
      <w:t xml:space="preserve">- </w:t>
    </w:r>
    <w:r w:rsidR="001E1C6F" w:rsidRPr="00BB76A1">
      <w:rPr>
        <w:rFonts w:ascii="Verdana" w:hAnsi="Verdana"/>
        <w:snapToGrid w:val="0"/>
        <w:sz w:val="16"/>
        <w:szCs w:val="16"/>
      </w:rPr>
      <w:fldChar w:fldCharType="begin"/>
    </w:r>
    <w:r w:rsidRPr="00BB76A1">
      <w:rPr>
        <w:rFonts w:ascii="Verdana" w:hAnsi="Verdana"/>
        <w:snapToGrid w:val="0"/>
        <w:sz w:val="16"/>
        <w:szCs w:val="16"/>
      </w:rPr>
      <w:instrText xml:space="preserve"> PAGE </w:instrText>
    </w:r>
    <w:r w:rsidR="001E1C6F" w:rsidRPr="00BB76A1">
      <w:rPr>
        <w:rFonts w:ascii="Verdana" w:hAnsi="Verdana"/>
        <w:snapToGrid w:val="0"/>
        <w:sz w:val="16"/>
        <w:szCs w:val="16"/>
      </w:rPr>
      <w:fldChar w:fldCharType="separate"/>
    </w:r>
    <w:r w:rsidR="00227104">
      <w:rPr>
        <w:rFonts w:ascii="Verdana" w:hAnsi="Verdana"/>
        <w:noProof/>
        <w:snapToGrid w:val="0"/>
        <w:sz w:val="16"/>
        <w:szCs w:val="16"/>
      </w:rPr>
      <w:t>6</w:t>
    </w:r>
    <w:r w:rsidR="001E1C6F" w:rsidRPr="00BB76A1">
      <w:rPr>
        <w:rFonts w:ascii="Verdana" w:hAnsi="Verdana"/>
        <w:snapToGrid w:val="0"/>
        <w:sz w:val="16"/>
        <w:szCs w:val="16"/>
      </w:rPr>
      <w:fldChar w:fldCharType="end"/>
    </w:r>
    <w:r w:rsidRPr="00BB76A1">
      <w:rPr>
        <w:rFonts w:ascii="Verdana" w:hAnsi="Verdana"/>
        <w:snapToGrid w:val="0"/>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E9" w:rsidRDefault="0087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3" w15:restartNumberingAfterBreak="0">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4" w15:restartNumberingAfterBreak="0">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8" w15:restartNumberingAfterBreak="0">
    <w:nsid w:val="6B30620E"/>
    <w:multiLevelType w:val="hybridMultilevel"/>
    <w:tmpl w:val="E458C7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E7F567F"/>
    <w:multiLevelType w:val="hybridMultilevel"/>
    <w:tmpl w:val="397CC80A"/>
    <w:lvl w:ilvl="0" w:tplc="0C070001">
      <w:start w:val="1"/>
      <w:numFmt w:val="bullet"/>
      <w:lvlText w:val=""/>
      <w:lvlJc w:val="left"/>
      <w:pPr>
        <w:ind w:left="800" w:hanging="360"/>
      </w:pPr>
      <w:rPr>
        <w:rFonts w:ascii="Symbol" w:hAnsi="Symbol" w:hint="default"/>
      </w:rPr>
    </w:lvl>
    <w:lvl w:ilvl="1" w:tplc="0C070003" w:tentative="1">
      <w:start w:val="1"/>
      <w:numFmt w:val="bullet"/>
      <w:lvlText w:val="o"/>
      <w:lvlJc w:val="left"/>
      <w:pPr>
        <w:ind w:left="1520" w:hanging="360"/>
      </w:pPr>
      <w:rPr>
        <w:rFonts w:ascii="Courier New" w:hAnsi="Courier New" w:cs="Courier New" w:hint="default"/>
      </w:rPr>
    </w:lvl>
    <w:lvl w:ilvl="2" w:tplc="0C070005" w:tentative="1">
      <w:start w:val="1"/>
      <w:numFmt w:val="bullet"/>
      <w:lvlText w:val=""/>
      <w:lvlJc w:val="left"/>
      <w:pPr>
        <w:ind w:left="2240" w:hanging="360"/>
      </w:pPr>
      <w:rPr>
        <w:rFonts w:ascii="Wingdings" w:hAnsi="Wingdings" w:hint="default"/>
      </w:rPr>
    </w:lvl>
    <w:lvl w:ilvl="3" w:tplc="0C070001" w:tentative="1">
      <w:start w:val="1"/>
      <w:numFmt w:val="bullet"/>
      <w:lvlText w:val=""/>
      <w:lvlJc w:val="left"/>
      <w:pPr>
        <w:ind w:left="2960" w:hanging="360"/>
      </w:pPr>
      <w:rPr>
        <w:rFonts w:ascii="Symbol" w:hAnsi="Symbol" w:hint="default"/>
      </w:rPr>
    </w:lvl>
    <w:lvl w:ilvl="4" w:tplc="0C070003" w:tentative="1">
      <w:start w:val="1"/>
      <w:numFmt w:val="bullet"/>
      <w:lvlText w:val="o"/>
      <w:lvlJc w:val="left"/>
      <w:pPr>
        <w:ind w:left="3680" w:hanging="360"/>
      </w:pPr>
      <w:rPr>
        <w:rFonts w:ascii="Courier New" w:hAnsi="Courier New" w:cs="Courier New" w:hint="default"/>
      </w:rPr>
    </w:lvl>
    <w:lvl w:ilvl="5" w:tplc="0C070005" w:tentative="1">
      <w:start w:val="1"/>
      <w:numFmt w:val="bullet"/>
      <w:lvlText w:val=""/>
      <w:lvlJc w:val="left"/>
      <w:pPr>
        <w:ind w:left="4400" w:hanging="360"/>
      </w:pPr>
      <w:rPr>
        <w:rFonts w:ascii="Wingdings" w:hAnsi="Wingdings" w:hint="default"/>
      </w:rPr>
    </w:lvl>
    <w:lvl w:ilvl="6" w:tplc="0C070001" w:tentative="1">
      <w:start w:val="1"/>
      <w:numFmt w:val="bullet"/>
      <w:lvlText w:val=""/>
      <w:lvlJc w:val="left"/>
      <w:pPr>
        <w:ind w:left="5120" w:hanging="360"/>
      </w:pPr>
      <w:rPr>
        <w:rFonts w:ascii="Symbol" w:hAnsi="Symbol" w:hint="default"/>
      </w:rPr>
    </w:lvl>
    <w:lvl w:ilvl="7" w:tplc="0C070003" w:tentative="1">
      <w:start w:val="1"/>
      <w:numFmt w:val="bullet"/>
      <w:lvlText w:val="o"/>
      <w:lvlJc w:val="left"/>
      <w:pPr>
        <w:ind w:left="5840" w:hanging="360"/>
      </w:pPr>
      <w:rPr>
        <w:rFonts w:ascii="Courier New" w:hAnsi="Courier New" w:cs="Courier New" w:hint="default"/>
      </w:rPr>
    </w:lvl>
    <w:lvl w:ilvl="8" w:tplc="0C070005" w:tentative="1">
      <w:start w:val="1"/>
      <w:numFmt w:val="bullet"/>
      <w:lvlText w:val=""/>
      <w:lvlJc w:val="left"/>
      <w:pPr>
        <w:ind w:left="6560" w:hanging="360"/>
      </w:pPr>
      <w:rPr>
        <w:rFonts w:ascii="Wingdings" w:hAnsi="Wingdings" w:hint="default"/>
      </w:rPr>
    </w:lvl>
  </w:abstractNum>
  <w:abstractNum w:abstractNumId="10" w15:restartNumberingAfterBreak="0">
    <w:nsid w:val="7FC45901"/>
    <w:multiLevelType w:val="hybridMultilevel"/>
    <w:tmpl w:val="A642DF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7"/>
  </w:num>
  <w:num w:numId="5">
    <w:abstractNumId w:val="7"/>
  </w:num>
  <w:num w:numId="6">
    <w:abstractNumId w:val="2"/>
  </w:num>
  <w:num w:numId="7">
    <w:abstractNumId w:val="2"/>
  </w:num>
  <w:num w:numId="8">
    <w:abstractNumId w:val="0"/>
  </w:num>
  <w:num w:numId="9">
    <w:abstractNumId w:val="1"/>
  </w:num>
  <w:num w:numId="10">
    <w:abstractNumId w:val="4"/>
  </w:num>
  <w:num w:numId="11">
    <w:abstractNumId w:val="5"/>
  </w:num>
  <w:num w:numId="12">
    <w:abstractNumId w:val="10"/>
  </w:num>
  <w:num w:numId="13">
    <w:abstractNumId w:val="8"/>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C924A257-4594-4116-A20D-6F32ED802F1F}"/>
    <w:docVar w:name="dgnword-eventsink" w:val="899425280"/>
  </w:docVars>
  <w:rsids>
    <w:rsidRoot w:val="00891EFB"/>
    <w:rsid w:val="00006948"/>
    <w:rsid w:val="00024D42"/>
    <w:rsid w:val="00040A59"/>
    <w:rsid w:val="00092EEE"/>
    <w:rsid w:val="000D70A6"/>
    <w:rsid w:val="000E30E2"/>
    <w:rsid w:val="000F3FAF"/>
    <w:rsid w:val="00105E89"/>
    <w:rsid w:val="00116249"/>
    <w:rsid w:val="00167809"/>
    <w:rsid w:val="00183FB6"/>
    <w:rsid w:val="001A31BA"/>
    <w:rsid w:val="001C26CB"/>
    <w:rsid w:val="001C45BF"/>
    <w:rsid w:val="001E1C6F"/>
    <w:rsid w:val="001E35D3"/>
    <w:rsid w:val="001E3D44"/>
    <w:rsid w:val="001F26CA"/>
    <w:rsid w:val="00211CDB"/>
    <w:rsid w:val="0021458B"/>
    <w:rsid w:val="00221FD5"/>
    <w:rsid w:val="00227104"/>
    <w:rsid w:val="00243080"/>
    <w:rsid w:val="0026774F"/>
    <w:rsid w:val="0029052B"/>
    <w:rsid w:val="002B560F"/>
    <w:rsid w:val="002C3D5F"/>
    <w:rsid w:val="002E4582"/>
    <w:rsid w:val="00307A70"/>
    <w:rsid w:val="0032373E"/>
    <w:rsid w:val="003245DC"/>
    <w:rsid w:val="003500F0"/>
    <w:rsid w:val="003A193C"/>
    <w:rsid w:val="003B2F45"/>
    <w:rsid w:val="00404DBF"/>
    <w:rsid w:val="004161A1"/>
    <w:rsid w:val="00437B3E"/>
    <w:rsid w:val="004436EC"/>
    <w:rsid w:val="00454F7C"/>
    <w:rsid w:val="00462250"/>
    <w:rsid w:val="004748A4"/>
    <w:rsid w:val="004C041A"/>
    <w:rsid w:val="004C0EF0"/>
    <w:rsid w:val="004C495A"/>
    <w:rsid w:val="004E3900"/>
    <w:rsid w:val="004E583A"/>
    <w:rsid w:val="004F7DF4"/>
    <w:rsid w:val="00526F05"/>
    <w:rsid w:val="005328F7"/>
    <w:rsid w:val="005551C8"/>
    <w:rsid w:val="005A1709"/>
    <w:rsid w:val="005C22BF"/>
    <w:rsid w:val="005D4FB3"/>
    <w:rsid w:val="005F4FAC"/>
    <w:rsid w:val="006170DB"/>
    <w:rsid w:val="00653DBD"/>
    <w:rsid w:val="006540D2"/>
    <w:rsid w:val="00673157"/>
    <w:rsid w:val="00685D07"/>
    <w:rsid w:val="006B01A3"/>
    <w:rsid w:val="00706DCA"/>
    <w:rsid w:val="00720EF5"/>
    <w:rsid w:val="00751BF4"/>
    <w:rsid w:val="00753315"/>
    <w:rsid w:val="0078269F"/>
    <w:rsid w:val="007A0B07"/>
    <w:rsid w:val="007E01D3"/>
    <w:rsid w:val="007F419D"/>
    <w:rsid w:val="008016A1"/>
    <w:rsid w:val="0081545B"/>
    <w:rsid w:val="0083039C"/>
    <w:rsid w:val="00864419"/>
    <w:rsid w:val="00872FE9"/>
    <w:rsid w:val="00873D54"/>
    <w:rsid w:val="00891EFB"/>
    <w:rsid w:val="008A64D3"/>
    <w:rsid w:val="008F0589"/>
    <w:rsid w:val="009053BB"/>
    <w:rsid w:val="00905670"/>
    <w:rsid w:val="00912C3B"/>
    <w:rsid w:val="009142F6"/>
    <w:rsid w:val="00964279"/>
    <w:rsid w:val="009868AE"/>
    <w:rsid w:val="009B6BC5"/>
    <w:rsid w:val="009E2F5B"/>
    <w:rsid w:val="009E5DC3"/>
    <w:rsid w:val="009E63D8"/>
    <w:rsid w:val="009F4D72"/>
    <w:rsid w:val="00A4004F"/>
    <w:rsid w:val="00A47977"/>
    <w:rsid w:val="00A50DED"/>
    <w:rsid w:val="00A8527F"/>
    <w:rsid w:val="00AB7619"/>
    <w:rsid w:val="00AE4774"/>
    <w:rsid w:val="00B1087A"/>
    <w:rsid w:val="00B11CBA"/>
    <w:rsid w:val="00B12784"/>
    <w:rsid w:val="00B36A32"/>
    <w:rsid w:val="00B415C5"/>
    <w:rsid w:val="00B605DD"/>
    <w:rsid w:val="00B61799"/>
    <w:rsid w:val="00BA5616"/>
    <w:rsid w:val="00BB76A1"/>
    <w:rsid w:val="00BC04C1"/>
    <w:rsid w:val="00BE23BC"/>
    <w:rsid w:val="00C05BE2"/>
    <w:rsid w:val="00C348EB"/>
    <w:rsid w:val="00C72B26"/>
    <w:rsid w:val="00C93AC6"/>
    <w:rsid w:val="00CD63EC"/>
    <w:rsid w:val="00CF5118"/>
    <w:rsid w:val="00D155E1"/>
    <w:rsid w:val="00D17B90"/>
    <w:rsid w:val="00D357B0"/>
    <w:rsid w:val="00D7443C"/>
    <w:rsid w:val="00D85FEB"/>
    <w:rsid w:val="00D9076E"/>
    <w:rsid w:val="00DB5AF6"/>
    <w:rsid w:val="00DD33BE"/>
    <w:rsid w:val="00DF3314"/>
    <w:rsid w:val="00DF4F4F"/>
    <w:rsid w:val="00E11FB4"/>
    <w:rsid w:val="00E220CF"/>
    <w:rsid w:val="00E87A8E"/>
    <w:rsid w:val="00EA2185"/>
    <w:rsid w:val="00EB0A5B"/>
    <w:rsid w:val="00EB6E2B"/>
    <w:rsid w:val="00EC72BD"/>
    <w:rsid w:val="00EE49AC"/>
    <w:rsid w:val="00EE4DA0"/>
    <w:rsid w:val="00EF0ED1"/>
    <w:rsid w:val="00EF3754"/>
    <w:rsid w:val="00F1312E"/>
    <w:rsid w:val="00F16CBE"/>
    <w:rsid w:val="00FA1E44"/>
    <w:rsid w:val="00FE27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B41AF"/>
  <w15:docId w15:val="{A0B766F1-C581-4103-B579-8BCD0789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58B"/>
    <w:pPr>
      <w:spacing w:line="280" w:lineRule="atLeast"/>
      <w:jc w:val="both"/>
    </w:pPr>
    <w:rPr>
      <w:rFonts w:ascii="Arial" w:hAnsi="Arial"/>
      <w:sz w:val="22"/>
      <w:lang w:eastAsia="de-DE"/>
    </w:rPr>
  </w:style>
  <w:style w:type="paragraph" w:styleId="Heading1">
    <w:name w:val="heading 1"/>
    <w:basedOn w:val="Normal"/>
    <w:next w:val="Normal"/>
    <w:qFormat/>
    <w:rsid w:val="0021458B"/>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21458B"/>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21458B"/>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21458B"/>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21458B"/>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21458B"/>
    <w:pPr>
      <w:numPr>
        <w:ilvl w:val="5"/>
        <w:numId w:val="1"/>
      </w:numPr>
      <w:jc w:val="left"/>
      <w:outlineLvl w:val="5"/>
    </w:pPr>
    <w:rPr>
      <w:bCs/>
      <w:szCs w:val="22"/>
    </w:rPr>
  </w:style>
  <w:style w:type="paragraph" w:styleId="Heading7">
    <w:name w:val="heading 7"/>
    <w:basedOn w:val="Normal"/>
    <w:next w:val="Normal"/>
    <w:qFormat/>
    <w:rsid w:val="0021458B"/>
    <w:pPr>
      <w:numPr>
        <w:ilvl w:val="6"/>
        <w:numId w:val="1"/>
      </w:numPr>
      <w:spacing w:before="240" w:after="60"/>
      <w:jc w:val="left"/>
      <w:outlineLvl w:val="6"/>
    </w:pPr>
    <w:rPr>
      <w:szCs w:val="24"/>
    </w:rPr>
  </w:style>
  <w:style w:type="paragraph" w:styleId="Heading8">
    <w:name w:val="heading 8"/>
    <w:basedOn w:val="Normal"/>
    <w:next w:val="Normal"/>
    <w:qFormat/>
    <w:rsid w:val="0021458B"/>
    <w:pPr>
      <w:numPr>
        <w:ilvl w:val="7"/>
        <w:numId w:val="1"/>
      </w:numPr>
      <w:spacing w:before="240" w:after="60"/>
      <w:jc w:val="left"/>
      <w:outlineLvl w:val="7"/>
    </w:pPr>
    <w:rPr>
      <w:iCs/>
      <w:szCs w:val="24"/>
    </w:rPr>
  </w:style>
  <w:style w:type="paragraph" w:styleId="Heading9">
    <w:name w:val="heading 9"/>
    <w:basedOn w:val="Normal"/>
    <w:next w:val="Normal"/>
    <w:qFormat/>
    <w:rsid w:val="0021458B"/>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458B"/>
    <w:pPr>
      <w:tabs>
        <w:tab w:val="center" w:pos="4536"/>
        <w:tab w:val="right" w:pos="9072"/>
      </w:tabs>
      <w:spacing w:line="360" w:lineRule="auto"/>
    </w:pPr>
    <w:rPr>
      <w:sz w:val="26"/>
    </w:rPr>
  </w:style>
  <w:style w:type="paragraph" w:styleId="Header">
    <w:name w:val="header"/>
    <w:basedOn w:val="Normal"/>
    <w:rsid w:val="0021458B"/>
    <w:pPr>
      <w:tabs>
        <w:tab w:val="center" w:pos="4819"/>
        <w:tab w:val="right" w:pos="9071"/>
      </w:tabs>
      <w:spacing w:line="360" w:lineRule="auto"/>
    </w:pPr>
    <w:rPr>
      <w:sz w:val="26"/>
    </w:rPr>
  </w:style>
  <w:style w:type="paragraph" w:styleId="DocumentMap">
    <w:name w:val="Document Map"/>
    <w:basedOn w:val="Normal"/>
    <w:semiHidden/>
    <w:rsid w:val="0021458B"/>
    <w:pPr>
      <w:shd w:val="clear" w:color="auto" w:fill="000080"/>
    </w:pPr>
    <w:rPr>
      <w:rFonts w:ascii="Tahoma" w:hAnsi="Tahoma"/>
    </w:rPr>
  </w:style>
  <w:style w:type="paragraph" w:customStyle="1" w:styleId="Text1Num">
    <w:name w:val="Text 1 Num"/>
    <w:basedOn w:val="Heading1"/>
    <w:rsid w:val="0021458B"/>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21458B"/>
    <w:pPr>
      <w:tabs>
        <w:tab w:val="left" w:pos="567"/>
      </w:tabs>
      <w:spacing w:after="330"/>
      <w:ind w:left="425" w:hanging="425"/>
    </w:pPr>
  </w:style>
  <w:style w:type="paragraph" w:customStyle="1" w:styleId="Text3Num">
    <w:name w:val="Text 3 Num"/>
    <w:basedOn w:val="Text2num"/>
    <w:rsid w:val="0021458B"/>
    <w:pPr>
      <w:ind w:left="567" w:hanging="567"/>
    </w:pPr>
  </w:style>
  <w:style w:type="paragraph" w:customStyle="1" w:styleId="Text4Num">
    <w:name w:val="Text 4 Num"/>
    <w:basedOn w:val="Text2num"/>
    <w:rsid w:val="0021458B"/>
    <w:pPr>
      <w:tabs>
        <w:tab w:val="clear" w:pos="567"/>
      </w:tabs>
      <w:ind w:left="709" w:hanging="709"/>
    </w:pPr>
  </w:style>
  <w:style w:type="paragraph" w:customStyle="1" w:styleId="Text5Num">
    <w:name w:val="Text 5 Num"/>
    <w:basedOn w:val="Text2num"/>
    <w:rsid w:val="0021458B"/>
    <w:pPr>
      <w:tabs>
        <w:tab w:val="clear" w:pos="567"/>
      </w:tabs>
      <w:ind w:left="851" w:hanging="851"/>
    </w:pPr>
  </w:style>
  <w:style w:type="paragraph" w:styleId="TOC1">
    <w:name w:val="toc 1"/>
    <w:basedOn w:val="Normal"/>
    <w:next w:val="Normal"/>
    <w:autoRedefine/>
    <w:semiHidden/>
    <w:rsid w:val="0021458B"/>
    <w:pPr>
      <w:tabs>
        <w:tab w:val="left" w:pos="440"/>
        <w:tab w:val="right" w:leader="dot" w:pos="9060"/>
      </w:tabs>
    </w:pPr>
    <w:rPr>
      <w:b/>
      <w:caps/>
      <w:noProof/>
      <w:szCs w:val="22"/>
    </w:rPr>
  </w:style>
  <w:style w:type="paragraph" w:styleId="TOC2">
    <w:name w:val="toc 2"/>
    <w:basedOn w:val="Normal"/>
    <w:next w:val="Normal"/>
    <w:autoRedefine/>
    <w:semiHidden/>
    <w:rsid w:val="0021458B"/>
    <w:pPr>
      <w:tabs>
        <w:tab w:val="left" w:pos="990"/>
        <w:tab w:val="right" w:leader="dot" w:pos="9060"/>
      </w:tabs>
      <w:ind w:left="440"/>
    </w:pPr>
    <w:rPr>
      <w:b/>
      <w:noProof/>
    </w:rPr>
  </w:style>
  <w:style w:type="paragraph" w:styleId="TOC3">
    <w:name w:val="toc 3"/>
    <w:basedOn w:val="Normal"/>
    <w:next w:val="Normal"/>
    <w:autoRedefine/>
    <w:semiHidden/>
    <w:rsid w:val="0021458B"/>
    <w:pPr>
      <w:tabs>
        <w:tab w:val="right" w:leader="dot" w:pos="9060"/>
      </w:tabs>
      <w:ind w:left="1650" w:hanging="660"/>
    </w:pPr>
    <w:rPr>
      <w:noProof/>
      <w:szCs w:val="22"/>
    </w:rPr>
  </w:style>
  <w:style w:type="paragraph" w:styleId="TOC4">
    <w:name w:val="toc 4"/>
    <w:basedOn w:val="Normal"/>
    <w:next w:val="Normal"/>
    <w:autoRedefine/>
    <w:semiHidden/>
    <w:rsid w:val="0021458B"/>
    <w:pPr>
      <w:tabs>
        <w:tab w:val="left" w:pos="2618"/>
        <w:tab w:val="right" w:leader="dot" w:pos="9060"/>
      </w:tabs>
      <w:ind w:left="2534" w:hanging="884"/>
    </w:pPr>
    <w:rPr>
      <w:i/>
      <w:noProof/>
      <w:szCs w:val="22"/>
    </w:rPr>
  </w:style>
  <w:style w:type="paragraph" w:styleId="TOC5">
    <w:name w:val="toc 5"/>
    <w:basedOn w:val="Normal"/>
    <w:next w:val="Normal"/>
    <w:autoRedefine/>
    <w:semiHidden/>
    <w:rsid w:val="0021458B"/>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BalloonText">
    <w:name w:val="Balloon Text"/>
    <w:basedOn w:val="Normal"/>
    <w:link w:val="BalloonTextChar"/>
    <w:rsid w:val="006170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70DB"/>
    <w:rPr>
      <w:rFonts w:ascii="Tahoma" w:hAnsi="Tahoma" w:cs="Tahoma"/>
      <w:sz w:val="16"/>
      <w:szCs w:val="16"/>
      <w:lang w:eastAsia="de-DE"/>
    </w:rPr>
  </w:style>
  <w:style w:type="paragraph" w:styleId="ListParagraph">
    <w:name w:val="List Paragraph"/>
    <w:basedOn w:val="Normal"/>
    <w:uiPriority w:val="34"/>
    <w:qFormat/>
    <w:rsid w:val="00864419"/>
    <w:pPr>
      <w:ind w:left="720"/>
      <w:contextualSpacing/>
    </w:pPr>
  </w:style>
  <w:style w:type="paragraph" w:customStyle="1" w:styleId="Sheading1">
    <w:name w:val="S_heading 1"/>
    <w:basedOn w:val="Normal"/>
    <w:rsid w:val="00227104"/>
    <w:pPr>
      <w:tabs>
        <w:tab w:val="num" w:pos="680"/>
      </w:tabs>
      <w:ind w:left="680" w:hanging="680"/>
    </w:pPr>
  </w:style>
  <w:style w:type="paragraph" w:customStyle="1" w:styleId="Sheading2">
    <w:name w:val="S_heading 2"/>
    <w:basedOn w:val="Normal"/>
    <w:rsid w:val="00227104"/>
    <w:pPr>
      <w:tabs>
        <w:tab w:val="num" w:pos="680"/>
      </w:tabs>
      <w:ind w:left="680" w:hanging="680"/>
    </w:pPr>
  </w:style>
  <w:style w:type="paragraph" w:customStyle="1" w:styleId="Sheading3">
    <w:name w:val="S_heading 3"/>
    <w:basedOn w:val="Normal"/>
    <w:rsid w:val="00227104"/>
    <w:pPr>
      <w:tabs>
        <w:tab w:val="num" w:pos="1361"/>
      </w:tabs>
      <w:ind w:left="1361" w:hanging="681"/>
    </w:pPr>
  </w:style>
  <w:style w:type="paragraph" w:customStyle="1" w:styleId="Sheading4">
    <w:name w:val="S_heading 4"/>
    <w:basedOn w:val="Normal"/>
    <w:rsid w:val="00227104"/>
    <w:pPr>
      <w:tabs>
        <w:tab w:val="num" w:pos="2495"/>
      </w:tabs>
      <w:ind w:left="2495" w:hanging="1134"/>
    </w:pPr>
  </w:style>
  <w:style w:type="paragraph" w:customStyle="1" w:styleId="Sheading5">
    <w:name w:val="S_heading 5"/>
    <w:basedOn w:val="Normal"/>
    <w:rsid w:val="00227104"/>
    <w:pPr>
      <w:tabs>
        <w:tab w:val="num" w:pos="3629"/>
      </w:tabs>
      <w:ind w:left="3629" w:hanging="1134"/>
    </w:pPr>
  </w:style>
  <w:style w:type="paragraph" w:customStyle="1" w:styleId="SlistingA">
    <w:name w:val="S_listing (A)"/>
    <w:basedOn w:val="Normal"/>
    <w:rsid w:val="00227104"/>
    <w:pPr>
      <w:tabs>
        <w:tab w:val="num" w:pos="1191"/>
      </w:tabs>
      <w:ind w:left="1191" w:hanging="511"/>
    </w:pPr>
  </w:style>
  <w:style w:type="paragraph" w:customStyle="1" w:styleId="Slistingi">
    <w:name w:val="S_listing (i)"/>
    <w:basedOn w:val="Normal"/>
    <w:rsid w:val="00227104"/>
    <w:pPr>
      <w:tabs>
        <w:tab w:val="num" w:pos="1701"/>
      </w:tabs>
      <w:ind w:left="1701"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12415</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subject/>
  <dc:creator>Schönherr Rechtsanwälte GmbH</dc:creator>
  <cp:keywords/>
  <dc:description/>
  <cp:lastModifiedBy>Schoenherr Rechtsanwaelte</cp:lastModifiedBy>
  <cp:revision>2</cp:revision>
  <cp:lastPrinted>2016-11-07T11:32:00Z</cp:lastPrinted>
  <dcterms:created xsi:type="dcterms:W3CDTF">2018-10-15T12:51:00Z</dcterms:created>
  <dcterms:modified xsi:type="dcterms:W3CDTF">2018-10-15T12:51:00Z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M14306754/1</vt:lpwstr>
  </property>
  <property fmtid="{D5CDD505-2E9C-101B-9397-08002B2CF9AE}" pid="3" name="WS_REF_OLD">
    <vt:lpwstr>M11957566/1</vt:lpwstr>
  </property>
</Properties>
</file>